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cs="宋体"/>
          <w:b/>
          <w:bCs/>
          <w:sz w:val="21"/>
          <w:szCs w:val="21"/>
          <w:highlight w:val="none"/>
        </w:rPr>
      </w:pPr>
    </w:p>
    <w:p>
      <w:pPr>
        <w:snapToGrid w:val="0"/>
        <w:spacing w:line="360" w:lineRule="auto"/>
        <w:jc w:val="center"/>
        <w:rPr>
          <w:rFonts w:hint="eastAsia" w:ascii="宋体" w:hAnsi="宋体" w:eastAsia="宋体" w:cs="宋体"/>
          <w:b/>
          <w:bCs/>
          <w:sz w:val="21"/>
          <w:szCs w:val="21"/>
        </w:rPr>
      </w:pPr>
    </w:p>
    <w:p>
      <w:pPr>
        <w:snapToGrid w:val="0"/>
        <w:spacing w:line="360" w:lineRule="auto"/>
        <w:jc w:val="center"/>
        <w:rPr>
          <w:rFonts w:hint="eastAsia" w:ascii="黑体" w:hAnsi="黑体" w:eastAsia="黑体" w:cs="黑体"/>
          <w:b/>
          <w:bCs/>
          <w:sz w:val="44"/>
          <w:szCs w:val="44"/>
        </w:rPr>
      </w:pPr>
      <w:r>
        <w:rPr>
          <w:rFonts w:hint="eastAsia" w:ascii="黑体" w:hAnsi="黑体" w:eastAsia="黑体" w:cs="黑体"/>
          <w:b/>
          <w:bCs/>
          <w:sz w:val="44"/>
          <w:szCs w:val="44"/>
          <w:lang w:eastAsia="zh-CN"/>
        </w:rPr>
        <w:t>哈尔滨工程大学室外体育设施器材购置项目</w:t>
      </w:r>
    </w:p>
    <w:p>
      <w:pPr>
        <w:snapToGrid w:val="0"/>
        <w:spacing w:line="360" w:lineRule="auto"/>
        <w:rPr>
          <w:rFonts w:hint="eastAsia" w:ascii="宋体" w:hAnsi="宋体" w:cs="宋体"/>
          <w:b/>
          <w:bCs/>
          <w:sz w:val="44"/>
          <w:szCs w:val="44"/>
        </w:rPr>
      </w:pPr>
    </w:p>
    <w:p>
      <w:pPr>
        <w:snapToGrid w:val="0"/>
        <w:jc w:val="center"/>
        <w:rPr>
          <w:rFonts w:hint="eastAsia" w:ascii="黑体" w:hAnsi="黑体" w:eastAsia="黑体" w:cs="黑体"/>
          <w:b/>
          <w:bCs w:val="0"/>
          <w:sz w:val="84"/>
        </w:rPr>
      </w:pPr>
    </w:p>
    <w:p>
      <w:pPr>
        <w:snapToGrid w:val="0"/>
        <w:jc w:val="center"/>
        <w:rPr>
          <w:rFonts w:hint="eastAsia" w:ascii="黑体" w:hAnsi="黑体" w:eastAsia="黑体" w:cs="黑体"/>
          <w:b/>
          <w:bCs w:val="0"/>
          <w:sz w:val="84"/>
        </w:rPr>
      </w:pPr>
    </w:p>
    <w:p>
      <w:pPr>
        <w:snapToGrid w:val="0"/>
        <w:jc w:val="center"/>
        <w:rPr>
          <w:rFonts w:ascii="黑体" w:hAnsi="黑体" w:eastAsia="黑体" w:cs="黑体"/>
          <w:b/>
          <w:bCs w:val="0"/>
          <w:sz w:val="84"/>
        </w:rPr>
      </w:pPr>
      <w:r>
        <w:rPr>
          <w:rFonts w:hint="eastAsia" w:ascii="黑体" w:hAnsi="黑体" w:eastAsia="黑体" w:cs="黑体"/>
          <w:b/>
          <w:bCs w:val="0"/>
          <w:sz w:val="84"/>
        </w:rPr>
        <w:t>竞争性磋商文件</w:t>
      </w:r>
    </w:p>
    <w:p>
      <w:pPr>
        <w:snapToGrid w:val="0"/>
        <w:jc w:val="center"/>
        <w:rPr>
          <w:rFonts w:eastAsia="黑体"/>
          <w:b/>
          <w:bCs/>
        </w:rPr>
      </w:pPr>
    </w:p>
    <w:p>
      <w:pPr>
        <w:snapToGrid w:val="0"/>
        <w:rPr>
          <w:rFonts w:eastAsia="黑体"/>
          <w:b/>
          <w:bCs/>
        </w:rPr>
      </w:pPr>
    </w:p>
    <w:p>
      <w:pPr>
        <w:snapToGrid w:val="0"/>
        <w:jc w:val="center"/>
        <w:rPr>
          <w:rFonts w:eastAsia="黑体"/>
          <w:b/>
          <w:bCs/>
          <w:highlight w:val="none"/>
        </w:rPr>
      </w:pPr>
    </w:p>
    <w:p>
      <w:pPr>
        <w:snapToGrid w:val="0"/>
        <w:spacing w:line="480" w:lineRule="auto"/>
        <w:jc w:val="center"/>
        <w:rPr>
          <w:rFonts w:hint="default" w:ascii="宋体" w:hAnsi="宋体" w:cs="宋体"/>
          <w:b/>
          <w:bCs/>
          <w:sz w:val="32"/>
          <w:szCs w:val="32"/>
          <w:highlight w:val="none"/>
          <w:lang w:val="en-US"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val="en-US" w:eastAsia="zh-CN"/>
        </w:rPr>
        <w:t>ZXDC2020C713</w:t>
      </w: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spacing w:line="500" w:lineRule="exact"/>
        <w:ind w:firstLine="321" w:firstLineChars="100"/>
        <w:jc w:val="left"/>
        <w:rPr>
          <w:rFonts w:hint="eastAsia" w:ascii="黑体" w:hAnsi="黑体" w:eastAsia="黑体" w:cs="黑体"/>
          <w:b/>
          <w:bCs w:val="0"/>
          <w:sz w:val="32"/>
          <w:szCs w:val="32"/>
        </w:rPr>
      </w:pPr>
      <w:r>
        <w:rPr>
          <w:rFonts w:hint="eastAsia" w:ascii="黑体" w:hAnsi="黑体" w:eastAsia="黑体" w:cs="黑体"/>
          <w:b/>
          <w:bCs w:val="0"/>
          <w:sz w:val="32"/>
          <w:szCs w:val="32"/>
        </w:rPr>
        <w:t>采   购   人：</w:t>
      </w:r>
      <w:r>
        <w:rPr>
          <w:rFonts w:hint="eastAsia" w:ascii="黑体" w:hAnsi="黑体" w:eastAsia="黑体" w:cs="黑体"/>
          <w:b/>
          <w:bCs w:val="0"/>
          <w:w w:val="90"/>
          <w:sz w:val="32"/>
          <w:szCs w:val="32"/>
          <w:lang w:eastAsia="zh-CN"/>
        </w:rPr>
        <w:t>哈尔滨工程大学</w:t>
      </w:r>
    </w:p>
    <w:p>
      <w:pPr>
        <w:snapToGrid w:val="0"/>
        <w:spacing w:line="500" w:lineRule="exact"/>
        <w:ind w:firstLine="321" w:firstLineChars="100"/>
        <w:jc w:val="left"/>
        <w:rPr>
          <w:rFonts w:hint="eastAsia" w:ascii="黑体" w:hAnsi="黑体" w:eastAsia="黑体" w:cs="黑体"/>
          <w:b/>
          <w:bCs w:val="0"/>
          <w:sz w:val="32"/>
          <w:szCs w:val="32"/>
        </w:rPr>
      </w:pPr>
      <w:r>
        <w:rPr>
          <w:rFonts w:hint="eastAsia" w:ascii="黑体" w:hAnsi="黑体" w:eastAsia="黑体" w:cs="黑体"/>
          <w:b/>
          <w:bCs w:val="0"/>
          <w:sz w:val="32"/>
          <w:szCs w:val="32"/>
        </w:rPr>
        <w:t>采购代理机构：</w:t>
      </w:r>
      <w:r>
        <w:rPr>
          <w:rFonts w:hint="eastAsia" w:ascii="黑体" w:hAnsi="黑体" w:eastAsia="黑体" w:cs="黑体"/>
          <w:b/>
          <w:bCs w:val="0"/>
          <w:w w:val="90"/>
          <w:sz w:val="32"/>
          <w:szCs w:val="32"/>
          <w:lang w:eastAsia="zh-CN"/>
        </w:rPr>
        <w:t>正信伟业工程咨询管理有限公司</w:t>
      </w:r>
      <w:r>
        <w:rPr>
          <w:rFonts w:hint="eastAsia" w:ascii="黑体" w:hAnsi="黑体" w:eastAsia="黑体" w:cs="黑体"/>
          <w:b/>
          <w:bCs w:val="0"/>
          <w:sz w:val="32"/>
          <w:szCs w:val="32"/>
          <w:lang w:eastAsia="zh-CN"/>
        </w:rPr>
        <w:t xml:space="preserve"> </w:t>
      </w:r>
      <w:r>
        <w:rPr>
          <w:rFonts w:hint="eastAsia" w:ascii="黑体" w:hAnsi="黑体" w:eastAsia="黑体" w:cs="黑体"/>
          <w:b/>
          <w:bCs w:val="0"/>
          <w:sz w:val="32"/>
          <w:szCs w:val="32"/>
        </w:rPr>
        <w:t xml:space="preserve"> </w:t>
      </w:r>
    </w:p>
    <w:p>
      <w:pPr>
        <w:snapToGrid w:val="0"/>
        <w:spacing w:line="500" w:lineRule="exact"/>
        <w:ind w:firstLine="321" w:firstLineChars="100"/>
        <w:jc w:val="left"/>
        <w:rPr>
          <w:rFonts w:hint="eastAsia" w:ascii="黑体" w:hAnsi="黑体" w:eastAsia="黑体" w:cs="黑体"/>
          <w:b/>
          <w:bCs w:val="0"/>
          <w:w w:val="90"/>
          <w:sz w:val="32"/>
          <w:szCs w:val="32"/>
        </w:rPr>
      </w:pPr>
      <w:r>
        <w:rPr>
          <w:rFonts w:hint="eastAsia" w:ascii="黑体" w:hAnsi="黑体" w:eastAsia="黑体" w:cs="黑体"/>
          <w:b/>
          <w:bCs w:val="0"/>
          <w:sz w:val="32"/>
          <w:szCs w:val="32"/>
        </w:rPr>
        <w:t>代理机构地址：</w:t>
      </w:r>
      <w:r>
        <w:rPr>
          <w:rFonts w:hint="eastAsia" w:ascii="黑体" w:hAnsi="黑体" w:eastAsia="黑体" w:cs="黑体"/>
          <w:b/>
          <w:bCs w:val="0"/>
          <w:w w:val="90"/>
          <w:sz w:val="32"/>
          <w:szCs w:val="32"/>
        </w:rPr>
        <w:t>哈尔滨市香坊区红旗大街235号投资大厦20层</w:t>
      </w:r>
    </w:p>
    <w:p>
      <w:pPr>
        <w:tabs>
          <w:tab w:val="left" w:pos="1080"/>
        </w:tabs>
        <w:spacing w:line="500" w:lineRule="exact"/>
        <w:ind w:firstLine="321" w:firstLineChars="100"/>
        <w:jc w:val="left"/>
        <w:rPr>
          <w:rFonts w:hint="eastAsia" w:ascii="黑体" w:hAnsi="黑体" w:eastAsia="黑体" w:cs="黑体"/>
          <w:b/>
          <w:bCs w:val="0"/>
          <w:sz w:val="32"/>
          <w:szCs w:val="32"/>
        </w:rPr>
      </w:pPr>
      <w:r>
        <w:rPr>
          <w:rFonts w:hint="eastAsia" w:ascii="黑体" w:hAnsi="黑体" w:eastAsia="黑体" w:cs="黑体"/>
          <w:b/>
          <w:bCs w:val="0"/>
          <w:sz w:val="32"/>
          <w:szCs w:val="32"/>
        </w:rPr>
        <w:t>日        期：</w:t>
      </w:r>
      <w:r>
        <w:rPr>
          <w:rFonts w:hint="eastAsia" w:ascii="黑体" w:hAnsi="黑体" w:eastAsia="黑体" w:cs="黑体"/>
          <w:b/>
          <w:bCs w:val="0"/>
          <w:w w:val="90"/>
          <w:sz w:val="32"/>
          <w:szCs w:val="32"/>
          <w:lang w:eastAsia="zh-CN"/>
        </w:rPr>
        <w:t>二〇</w:t>
      </w:r>
      <w:r>
        <w:rPr>
          <w:rFonts w:hint="eastAsia" w:ascii="黑体" w:hAnsi="黑体" w:eastAsia="黑体" w:cs="黑体"/>
          <w:b/>
          <w:bCs w:val="0"/>
          <w:w w:val="90"/>
          <w:sz w:val="32"/>
          <w:szCs w:val="32"/>
          <w:lang w:val="en-US" w:eastAsia="zh-CN"/>
        </w:rPr>
        <w:t>二</w:t>
      </w:r>
      <w:r>
        <w:rPr>
          <w:rFonts w:hint="eastAsia" w:ascii="黑体" w:hAnsi="黑体" w:eastAsia="黑体" w:cs="黑体"/>
          <w:b/>
          <w:bCs w:val="0"/>
          <w:w w:val="90"/>
          <w:sz w:val="32"/>
          <w:szCs w:val="32"/>
          <w:lang w:eastAsia="zh-CN"/>
        </w:rPr>
        <w:t>〇年七月</w:t>
      </w:r>
    </w:p>
    <w:p>
      <w:pPr>
        <w:widowControl/>
        <w:spacing w:line="360" w:lineRule="auto"/>
        <w:jc w:val="center"/>
        <w:rPr>
          <w:sz w:val="32"/>
          <w:szCs w:val="32"/>
        </w:rPr>
        <w:sectPr>
          <w:headerReference r:id="rId4" w:type="first"/>
          <w:headerReference r:id="rId3" w:type="default"/>
          <w:pgSz w:w="11907" w:h="16840"/>
          <w:pgMar w:top="1246" w:right="1588" w:bottom="1246" w:left="1797" w:header="851" w:footer="964" w:gutter="0"/>
          <w:pgNumType w:fmt="decimal"/>
          <w:cols w:space="720" w:num="1"/>
          <w:titlePg/>
          <w:docGrid w:type="lines" w:linePitch="312" w:charSpace="0"/>
        </w:sectPr>
      </w:pPr>
    </w:p>
    <w:p>
      <w:pPr>
        <w:widowControl/>
        <w:jc w:val="center"/>
        <w:rPr>
          <w:rFonts w:hint="eastAsia" w:ascii="宋体" w:hAnsi="宋体" w:eastAsia="宋体" w:cs="宋体"/>
          <w:sz w:val="36"/>
          <w:szCs w:val="36"/>
          <w:highlight w:val="none"/>
        </w:rPr>
      </w:pPr>
    </w:p>
    <w:p>
      <w:pPr>
        <w:widowControl/>
        <w:jc w:val="center"/>
        <w:rPr>
          <w:rFonts w:hint="eastAsia" w:ascii="黑体" w:hAnsi="黑体" w:eastAsia="黑体" w:cs="黑体"/>
          <w:b/>
          <w:bCs w:val="0"/>
          <w:kern w:val="0"/>
          <w:sz w:val="36"/>
          <w:szCs w:val="36"/>
          <w:highlight w:val="none"/>
        </w:rPr>
      </w:pPr>
      <w:r>
        <w:rPr>
          <w:rFonts w:hint="eastAsia" w:ascii="黑体" w:hAnsi="黑体" w:eastAsia="黑体" w:cs="黑体"/>
          <w:b/>
          <w:bCs w:val="0"/>
          <w:sz w:val="36"/>
          <w:szCs w:val="36"/>
          <w:highlight w:val="none"/>
        </w:rPr>
        <w:t>磋商文件及磋商公告业主确认函件</w:t>
      </w:r>
    </w:p>
    <w:p>
      <w:pPr>
        <w:spacing w:line="360" w:lineRule="auto"/>
        <w:ind w:firstLine="424" w:firstLineChars="200"/>
        <w:jc w:val="left"/>
        <w:rPr>
          <w:rFonts w:hint="eastAsia" w:ascii="宋体" w:hAnsi="宋体" w:eastAsia="宋体" w:cs="宋体"/>
          <w:sz w:val="21"/>
          <w:szCs w:val="21"/>
          <w:highlight w:val="none"/>
        </w:rPr>
      </w:pPr>
    </w:p>
    <w:p>
      <w:pPr>
        <w:widowControl/>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正信伟业工程咨询管理有限公司</w:t>
      </w:r>
      <w:r>
        <w:rPr>
          <w:rFonts w:hint="eastAsia" w:ascii="宋体" w:hAnsi="宋体" w:eastAsia="宋体" w:cs="宋体"/>
          <w:b/>
          <w:sz w:val="24"/>
          <w:szCs w:val="24"/>
          <w:highlight w:val="none"/>
        </w:rPr>
        <w:t>：</w:t>
      </w: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你单位根据哈尔滨工程大学提供的采购方案及有关技术资料编写的关于</w:t>
      </w:r>
      <w:r>
        <w:rPr>
          <w:rFonts w:hint="eastAsia" w:ascii="宋体" w:hAnsi="宋体" w:eastAsia="宋体" w:cs="宋体"/>
          <w:color w:val="000000"/>
          <w:kern w:val="0"/>
          <w:sz w:val="24"/>
          <w:szCs w:val="24"/>
          <w:highlight w:val="none"/>
          <w:lang w:eastAsia="zh-CN"/>
        </w:rPr>
        <w:t>哈尔滨工程大学室外体育设施器材购置项目</w:t>
      </w:r>
      <w:r>
        <w:rPr>
          <w:rFonts w:hint="eastAsia" w:ascii="宋体" w:hAnsi="宋体" w:eastAsia="宋体" w:cs="宋体"/>
          <w:color w:val="000000"/>
          <w:kern w:val="0"/>
          <w:sz w:val="24"/>
          <w:szCs w:val="24"/>
          <w:highlight w:val="none"/>
        </w:rPr>
        <w:t>（采购编号：</w:t>
      </w:r>
      <w:r>
        <w:rPr>
          <w:rFonts w:hint="eastAsia" w:ascii="宋体" w:hAnsi="宋体" w:eastAsia="宋体" w:cs="宋体"/>
          <w:color w:val="000000"/>
          <w:kern w:val="0"/>
          <w:sz w:val="24"/>
          <w:szCs w:val="24"/>
          <w:highlight w:val="none"/>
          <w:lang w:eastAsia="zh-CN"/>
        </w:rPr>
        <w:t>ZXDC2020C7</w:t>
      </w:r>
      <w:r>
        <w:rPr>
          <w:rFonts w:hint="eastAsia" w:ascii="宋体" w:hAnsi="宋体" w:eastAsia="宋体" w:cs="宋体"/>
          <w:color w:val="000000"/>
          <w:kern w:val="0"/>
          <w:sz w:val="24"/>
          <w:szCs w:val="24"/>
          <w:highlight w:val="none"/>
          <w:lang w:val="en-US" w:eastAsia="zh-CN"/>
        </w:rPr>
        <w:t>13</w:t>
      </w:r>
      <w:r>
        <w:rPr>
          <w:rFonts w:hint="eastAsia" w:ascii="宋体" w:hAnsi="宋体" w:eastAsia="宋体" w:cs="宋体"/>
          <w:color w:val="000000"/>
          <w:kern w:val="0"/>
          <w:sz w:val="24"/>
          <w:szCs w:val="24"/>
          <w:highlight w:val="none"/>
        </w:rPr>
        <w:t>）的磋商文件及磋商公告，经我单位有关领导审核，认为符合要求，可以对外发售。</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特此确认!</w:t>
      </w: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spacing w:line="420" w:lineRule="exact"/>
        <w:ind w:firstLine="4240" w:firstLineChars="2000"/>
        <w:jc w:val="left"/>
        <w:rPr>
          <w:rFonts w:hint="eastAsia" w:ascii="宋体" w:hAnsi="宋体" w:eastAsia="宋体" w:cs="宋体"/>
          <w:sz w:val="21"/>
          <w:szCs w:val="21"/>
          <w:highlight w:val="none"/>
        </w:rPr>
      </w:pPr>
    </w:p>
    <w:p>
      <w:pPr>
        <w:spacing w:line="420" w:lineRule="exact"/>
        <w:ind w:firstLine="4240" w:firstLineChars="2000"/>
        <w:jc w:val="left"/>
        <w:rPr>
          <w:rFonts w:hint="eastAsia" w:ascii="宋体" w:hAnsi="宋体" w:eastAsia="宋体" w:cs="宋体"/>
          <w:sz w:val="21"/>
          <w:szCs w:val="21"/>
          <w:highlight w:val="none"/>
        </w:rPr>
      </w:pPr>
    </w:p>
    <w:p>
      <w:pPr>
        <w:spacing w:line="420" w:lineRule="exact"/>
        <w:ind w:firstLine="4240" w:firstLineChars="20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单位名称：</w:t>
      </w:r>
    </w:p>
    <w:p>
      <w:pPr>
        <w:spacing w:line="420" w:lineRule="exact"/>
        <w:ind w:firstLine="4240" w:firstLineChars="2000"/>
        <w:jc w:val="left"/>
        <w:rPr>
          <w:rFonts w:hint="eastAsia" w:ascii="宋体" w:hAnsi="宋体" w:eastAsia="宋体" w:cs="宋体"/>
          <w:b/>
          <w:sz w:val="21"/>
          <w:szCs w:val="21"/>
          <w:highlight w:val="none"/>
        </w:rPr>
      </w:pPr>
    </w:p>
    <w:p>
      <w:pPr>
        <w:spacing w:line="420" w:lineRule="exact"/>
        <w:ind w:firstLine="4240" w:firstLineChars="20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项目负责人签字：</w:t>
      </w:r>
    </w:p>
    <w:p>
      <w:pPr>
        <w:spacing w:line="420" w:lineRule="exact"/>
        <w:ind w:firstLine="424" w:firstLineChars="200"/>
        <w:jc w:val="left"/>
        <w:rPr>
          <w:rFonts w:hint="eastAsia" w:ascii="宋体" w:hAnsi="宋体" w:eastAsia="宋体" w:cs="宋体"/>
          <w:b/>
          <w:sz w:val="21"/>
          <w:szCs w:val="21"/>
          <w:highlight w:val="none"/>
        </w:rPr>
      </w:pPr>
    </w:p>
    <w:p>
      <w:pPr>
        <w:spacing w:line="420" w:lineRule="exact"/>
        <w:ind w:firstLine="4240" w:firstLineChars="20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日期：</w:t>
      </w:r>
    </w:p>
    <w:p>
      <w:pPr>
        <w:widowControl/>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p>
      <w:pPr>
        <w:widowControl/>
        <w:spacing w:line="360" w:lineRule="auto"/>
        <w:jc w:val="center"/>
        <w:rPr>
          <w:rFonts w:hint="eastAsia" w:ascii="宋体" w:hAnsi="宋体" w:eastAsia="宋体" w:cs="宋体"/>
          <w:b/>
          <w:bCs/>
          <w:sz w:val="21"/>
          <w:szCs w:val="21"/>
          <w:highlight w:val="none"/>
        </w:rPr>
      </w:pPr>
    </w:p>
    <w:p>
      <w:pPr>
        <w:widowControl/>
        <w:spacing w:line="360" w:lineRule="auto"/>
        <w:jc w:val="center"/>
        <w:rPr>
          <w:rFonts w:hint="eastAsia" w:ascii="宋体" w:hAnsi="宋体" w:eastAsia="宋体" w:cs="宋体"/>
          <w:sz w:val="36"/>
          <w:szCs w:val="36"/>
          <w:highlight w:val="none"/>
        </w:rPr>
      </w:pPr>
      <w:r>
        <w:rPr>
          <w:rFonts w:hint="eastAsia" w:ascii="宋体" w:hAnsi="宋体" w:eastAsia="宋体" w:cs="宋体"/>
          <w:b/>
          <w:bCs/>
          <w:sz w:val="36"/>
          <w:szCs w:val="36"/>
          <w:highlight w:val="none"/>
        </w:rPr>
        <w:t>目       录</w:t>
      </w:r>
    </w:p>
    <w:p>
      <w:pPr>
        <w:pStyle w:val="15"/>
        <w:tabs>
          <w:tab w:val="right" w:leader="dot" w:pos="8708"/>
        </w:tabs>
        <w:rPr>
          <w:rFonts w:hint="eastAsia" w:ascii="宋体" w:hAnsi="宋体" w:eastAsia="宋体" w:cs="宋体"/>
          <w:sz w:val="21"/>
          <w:szCs w:val="21"/>
          <w:highlight w:val="none"/>
        </w:rPr>
      </w:pPr>
    </w:p>
    <w:p>
      <w:pPr>
        <w:pStyle w:val="15"/>
        <w:tabs>
          <w:tab w:val="right" w:leader="dot" w:pos="8708"/>
        </w:tabs>
        <w:spacing w:line="48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"1-2" \h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"_Toc25325" </w:instrText>
      </w:r>
      <w:r>
        <w:rPr>
          <w:rFonts w:hint="eastAsia" w:ascii="宋体" w:hAnsi="宋体" w:eastAsia="宋体" w:cs="宋体"/>
          <w:sz w:val="24"/>
          <w:szCs w:val="24"/>
          <w:highlight w:val="none"/>
        </w:rPr>
        <w:fldChar w:fldCharType="separate"/>
      </w:r>
      <w:r>
        <w:rPr>
          <w:rFonts w:hint="eastAsia" w:ascii="宋体" w:hAnsi="宋体" w:eastAsia="宋体" w:cs="宋体"/>
          <w:kern w:val="44"/>
          <w:sz w:val="24"/>
          <w:szCs w:val="24"/>
          <w:highlight w:val="none"/>
        </w:rPr>
        <w:t>第一部分  竞争性磋商</w:t>
      </w:r>
      <w:r>
        <w:rPr>
          <w:rFonts w:hint="eastAsia" w:ascii="宋体" w:hAnsi="宋体" w:cs="宋体"/>
          <w:kern w:val="44"/>
          <w:sz w:val="24"/>
          <w:szCs w:val="24"/>
          <w:highlight w:val="none"/>
          <w:lang w:val="en-US" w:eastAsia="zh-CN"/>
        </w:rPr>
        <w:t>公告</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fldChar w:fldCharType="end"/>
      </w:r>
    </w:p>
    <w:p>
      <w:pPr>
        <w:pStyle w:val="15"/>
        <w:tabs>
          <w:tab w:val="right" w:leader="dot" w:pos="8708"/>
        </w:tabs>
        <w:spacing w:line="48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"_Toc13810"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第二部分  供应商须知</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fldChar w:fldCharType="end"/>
      </w:r>
    </w:p>
    <w:p>
      <w:pPr>
        <w:pStyle w:val="15"/>
        <w:tabs>
          <w:tab w:val="right" w:leader="dot" w:pos="8708"/>
        </w:tabs>
        <w:spacing w:line="48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"_Toc26551"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第三部分  货物清单及技术参数或服务要求</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8</w:t>
      </w:r>
    </w:p>
    <w:p>
      <w:pPr>
        <w:pStyle w:val="15"/>
        <w:tabs>
          <w:tab w:val="right" w:leader="dot" w:pos="8708"/>
        </w:tabs>
        <w:spacing w:line="48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"_Toc28150"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第四部分  主要合同条款及合同格式（参照执行）</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6</w:t>
      </w:r>
    </w:p>
    <w:p>
      <w:pPr>
        <w:pStyle w:val="15"/>
        <w:tabs>
          <w:tab w:val="right" w:leader="dot" w:pos="8708"/>
        </w:tabs>
        <w:spacing w:line="48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"_Toc13827"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第五部分  响应文件格式及附件</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0</w:t>
      </w:r>
    </w:p>
    <w:p>
      <w:pPr>
        <w:pStyle w:val="15"/>
        <w:tabs>
          <w:tab w:val="right" w:leader="dot" w:pos="8708"/>
        </w:tabs>
        <w:spacing w:line="360" w:lineRule="auto"/>
        <w:rPr>
          <w:rFonts w:hint="eastAsia" w:ascii="宋体" w:hAnsi="宋体" w:eastAsia="宋体" w:cs="宋体"/>
          <w:sz w:val="24"/>
          <w:szCs w:val="24"/>
          <w:lang w:val="en-US"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_Toc16205 </w:instrText>
      </w:r>
      <w:r>
        <w:rPr>
          <w:rFonts w:hint="eastAsia" w:ascii="宋体" w:hAnsi="宋体" w:cs="宋体"/>
          <w:sz w:val="24"/>
          <w:szCs w:val="24"/>
        </w:rPr>
        <w:fldChar w:fldCharType="separate"/>
      </w:r>
      <w:r>
        <w:rPr>
          <w:rFonts w:hint="eastAsia" w:ascii="宋体" w:hAnsi="宋体" w:cs="宋体"/>
          <w:kern w:val="44"/>
          <w:sz w:val="24"/>
          <w:szCs w:val="24"/>
        </w:rPr>
        <w:t xml:space="preserve">第六部分 </w:t>
      </w:r>
      <w:r>
        <w:rPr>
          <w:rFonts w:hint="default" w:ascii="宋体" w:hAnsi="宋体" w:cs="宋体"/>
          <w:kern w:val="44"/>
          <w:sz w:val="24"/>
          <w:szCs w:val="24"/>
          <w:lang w:val="en-US"/>
        </w:rPr>
        <w:t xml:space="preserve"> </w:t>
      </w:r>
      <w:r>
        <w:rPr>
          <w:rFonts w:hint="eastAsia" w:ascii="宋体" w:hAnsi="宋体" w:cs="宋体"/>
          <w:kern w:val="44"/>
          <w:sz w:val="24"/>
          <w:szCs w:val="24"/>
        </w:rPr>
        <w:t>竞争性磋商最后报价书</w:t>
      </w:r>
      <w:r>
        <w:rPr>
          <w:rFonts w:hint="eastAsia" w:ascii="宋体" w:hAnsi="宋体" w:cs="宋体"/>
          <w:sz w:val="24"/>
          <w:szCs w:val="24"/>
        </w:rPr>
        <w:tab/>
      </w:r>
      <w:r>
        <w:rPr>
          <w:rFonts w:hint="eastAsia" w:ascii="宋体" w:hAnsi="宋体" w:cs="宋体"/>
          <w:sz w:val="24"/>
          <w:szCs w:val="24"/>
          <w:lang w:val="en-US" w:eastAsia="zh-CN"/>
        </w:rPr>
        <w:t>4</w:t>
      </w:r>
      <w:r>
        <w:rPr>
          <w:rFonts w:hint="eastAsia" w:ascii="宋体" w:hAnsi="宋体" w:cs="宋体"/>
          <w:sz w:val="24"/>
          <w:szCs w:val="24"/>
        </w:rPr>
        <w:fldChar w:fldCharType="end"/>
      </w:r>
      <w:r>
        <w:rPr>
          <w:rFonts w:hint="eastAsia" w:ascii="宋体" w:hAnsi="宋体" w:cs="宋体"/>
          <w:sz w:val="24"/>
          <w:szCs w:val="24"/>
          <w:lang w:val="en-US" w:eastAsia="zh-CN"/>
        </w:rPr>
        <w:t>4</w:t>
      </w:r>
    </w:p>
    <w:p>
      <w:pPr>
        <w:spacing w:line="480" w:lineRule="auto"/>
        <w:rPr>
          <w:rFonts w:hint="eastAsia" w:ascii="宋体" w:hAnsi="宋体" w:eastAsia="宋体" w:cs="宋体"/>
          <w:sz w:val="21"/>
          <w:szCs w:val="21"/>
          <w:highlight w:val="none"/>
        </w:rPr>
      </w:pPr>
      <w:r>
        <w:rPr>
          <w:rFonts w:hint="eastAsia" w:ascii="宋体" w:hAnsi="宋体" w:eastAsia="宋体" w:cs="宋体"/>
          <w:sz w:val="24"/>
          <w:szCs w:val="24"/>
          <w:highlight w:val="none"/>
        </w:rPr>
        <w:fldChar w:fldCharType="end"/>
      </w:r>
    </w:p>
    <w:p>
      <w:pP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sz w:val="21"/>
          <w:szCs w:val="21"/>
          <w:highlight w:val="none"/>
        </w:rPr>
        <w:br w:type="page"/>
      </w:r>
    </w:p>
    <w:p>
      <w:pPr>
        <w:rPr>
          <w:rFonts w:hint="eastAsia" w:ascii="宋体" w:hAnsi="宋体" w:eastAsia="宋体" w:cs="宋体"/>
          <w:sz w:val="21"/>
          <w:szCs w:val="21"/>
          <w:highlight w:val="none"/>
        </w:rPr>
      </w:pPr>
    </w:p>
    <w:p>
      <w:pPr>
        <w:widowControl/>
        <w:numPr>
          <w:ilvl w:val="0"/>
          <w:numId w:val="0"/>
        </w:numPr>
        <w:snapToGrid w:val="0"/>
        <w:spacing w:line="360" w:lineRule="auto"/>
        <w:jc w:val="center"/>
        <w:outlineLvl w:val="0"/>
        <w:rPr>
          <w:rFonts w:hint="eastAsia" w:ascii="黑体" w:hAnsi="黑体" w:eastAsia="黑体" w:cs="黑体"/>
          <w:b/>
          <w:kern w:val="44"/>
          <w:sz w:val="36"/>
          <w:szCs w:val="36"/>
        </w:rPr>
      </w:pPr>
      <w:bookmarkStart w:id="0" w:name="_Toc21101"/>
      <w:bookmarkStart w:id="1" w:name="_Toc25325"/>
      <w:r>
        <w:rPr>
          <w:rFonts w:hint="eastAsia" w:ascii="黑体" w:hAnsi="黑体" w:eastAsia="黑体" w:cs="黑体"/>
          <w:b/>
          <w:kern w:val="44"/>
          <w:sz w:val="36"/>
          <w:szCs w:val="36"/>
        </w:rPr>
        <w:t xml:space="preserve">第一部分 </w:t>
      </w:r>
      <w:bookmarkEnd w:id="0"/>
      <w:bookmarkEnd w:id="1"/>
      <w:r>
        <w:rPr>
          <w:rFonts w:hint="eastAsia" w:ascii="黑体" w:hAnsi="黑体" w:eastAsia="黑体" w:cs="黑体"/>
          <w:b/>
          <w:kern w:val="44"/>
          <w:sz w:val="36"/>
          <w:szCs w:val="36"/>
        </w:rPr>
        <w:t xml:space="preserve"> </w:t>
      </w:r>
      <w:bookmarkStart w:id="2" w:name="_Toc28359011"/>
      <w:bookmarkStart w:id="3" w:name="_Toc35393797"/>
      <w:r>
        <w:rPr>
          <w:rFonts w:hint="eastAsia" w:ascii="黑体" w:hAnsi="黑体" w:eastAsia="黑体" w:cs="黑体"/>
          <w:b/>
          <w:kern w:val="44"/>
          <w:sz w:val="36"/>
          <w:szCs w:val="36"/>
        </w:rPr>
        <w:t>竞争性磋商公告</w:t>
      </w:r>
      <w:bookmarkEnd w:id="2"/>
      <w:bookmarkEnd w:id="3"/>
    </w:p>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项目概况</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哈尔滨工程大学室外体育设施器材购置项目</w:t>
      </w:r>
      <w:r>
        <w:rPr>
          <w:rFonts w:hint="eastAsia" w:ascii="宋体" w:hAnsi="宋体" w:eastAsia="宋体" w:cs="宋体"/>
          <w:color w:val="000000"/>
          <w:kern w:val="0"/>
          <w:sz w:val="24"/>
          <w:szCs w:val="24"/>
          <w:highlight w:val="none"/>
        </w:rPr>
        <w:t>采购项目的潜在供应商应在本公告第三部分中按规定方式获取采购文件，并于</w:t>
      </w:r>
      <w:r>
        <w:rPr>
          <w:rFonts w:hint="eastAsia" w:ascii="宋体" w:hAnsi="宋体" w:eastAsia="宋体" w:cs="宋体"/>
          <w:color w:val="000000"/>
          <w:kern w:val="0"/>
          <w:sz w:val="24"/>
          <w:szCs w:val="24"/>
          <w:highlight w:val="none"/>
          <w:lang w:val="en-US" w:eastAsia="zh-CN"/>
        </w:rPr>
        <w:t>2020</w:t>
      </w:r>
      <w:r>
        <w:rPr>
          <w:rFonts w:hint="eastAsia" w:ascii="宋体" w:hAnsi="宋体" w:eastAsia="宋体" w:cs="宋体"/>
          <w:color w:val="000000"/>
          <w:kern w:val="0"/>
          <w:sz w:val="24"/>
          <w:szCs w:val="24"/>
          <w:highlight w:val="none"/>
        </w:rPr>
        <w:t xml:space="preserve">年  </w:t>
      </w:r>
      <w:r>
        <w:rPr>
          <w:rFonts w:hint="eastAsia" w:ascii="宋体" w:hAnsi="宋体" w:eastAsia="宋体" w:cs="宋体"/>
          <w:color w:val="000000"/>
          <w:kern w:val="0"/>
          <w:sz w:val="24"/>
          <w:szCs w:val="24"/>
          <w:highlight w:val="none"/>
          <w:lang w:val="en-US" w:eastAsia="zh-CN"/>
        </w:rPr>
        <w:t>08</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24</w:t>
      </w:r>
      <w:r>
        <w:rPr>
          <w:rFonts w:hint="eastAsia" w:ascii="宋体" w:hAnsi="宋体" w:eastAsia="宋体" w:cs="宋体"/>
          <w:color w:val="000000"/>
          <w:kern w:val="0"/>
          <w:sz w:val="24"/>
          <w:szCs w:val="24"/>
          <w:highlight w:val="none"/>
        </w:rPr>
        <w:t>日</w:t>
      </w:r>
      <w:r>
        <w:rPr>
          <w:rFonts w:hint="eastAsia" w:ascii="宋体" w:hAnsi="宋体" w:eastAsia="宋体" w:cs="宋体"/>
          <w:color w:val="000000"/>
          <w:kern w:val="0"/>
          <w:sz w:val="24"/>
          <w:szCs w:val="24"/>
          <w:highlight w:val="none"/>
          <w:lang w:val="en-US" w:eastAsia="zh-CN"/>
        </w:rPr>
        <w:t>14</w:t>
      </w:r>
      <w:r>
        <w:rPr>
          <w:rFonts w:hint="eastAsia" w:ascii="宋体" w:hAnsi="宋体" w:eastAsia="宋体" w:cs="宋体"/>
          <w:color w:val="000000"/>
          <w:kern w:val="0"/>
          <w:sz w:val="24"/>
          <w:szCs w:val="24"/>
          <w:highlight w:val="none"/>
        </w:rPr>
        <w:t>点</w:t>
      </w:r>
      <w:r>
        <w:rPr>
          <w:rFonts w:hint="eastAsia" w:ascii="宋体" w:hAnsi="宋体" w:eastAsia="宋体" w:cs="宋体"/>
          <w:color w:val="000000"/>
          <w:kern w:val="0"/>
          <w:sz w:val="24"/>
          <w:szCs w:val="24"/>
          <w:highlight w:val="none"/>
          <w:lang w:val="en-US" w:eastAsia="zh-CN"/>
        </w:rPr>
        <w:t>00</w:t>
      </w:r>
      <w:r>
        <w:rPr>
          <w:rFonts w:hint="eastAsia" w:ascii="宋体" w:hAnsi="宋体" w:eastAsia="宋体" w:cs="宋体"/>
          <w:color w:val="000000"/>
          <w:kern w:val="0"/>
          <w:sz w:val="24"/>
          <w:szCs w:val="24"/>
          <w:highlight w:val="none"/>
        </w:rPr>
        <w:t>分（北京时间）前提交响应文件。</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bookmarkStart w:id="4" w:name="_Toc35393798"/>
      <w:bookmarkStart w:id="5" w:name="_Toc35393629"/>
      <w:bookmarkStart w:id="6" w:name="_Toc28359012"/>
      <w:bookmarkStart w:id="7" w:name="_Toc28359089"/>
      <w:r>
        <w:rPr>
          <w:rFonts w:hint="eastAsia" w:ascii="宋体" w:hAnsi="宋体" w:eastAsia="宋体" w:cs="宋体"/>
          <w:color w:val="000000"/>
          <w:kern w:val="0"/>
          <w:sz w:val="24"/>
          <w:szCs w:val="24"/>
          <w:highlight w:val="none"/>
        </w:rPr>
        <w:t>一、项目基本情况</w:t>
      </w:r>
      <w:bookmarkEnd w:id="4"/>
      <w:bookmarkEnd w:id="5"/>
      <w:bookmarkEnd w:id="6"/>
      <w:bookmarkEnd w:id="7"/>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项目编号：</w:t>
      </w:r>
      <w:r>
        <w:rPr>
          <w:rFonts w:hint="eastAsia" w:ascii="宋体" w:hAnsi="宋体" w:eastAsia="宋体" w:cs="宋体"/>
          <w:color w:val="000000"/>
          <w:kern w:val="0"/>
          <w:sz w:val="24"/>
          <w:szCs w:val="24"/>
          <w:highlight w:val="none"/>
          <w:lang w:eastAsia="zh-CN"/>
        </w:rPr>
        <w:t>ZXDC2020C7</w:t>
      </w:r>
      <w:r>
        <w:rPr>
          <w:rFonts w:hint="eastAsia" w:ascii="宋体" w:hAnsi="宋体" w:eastAsia="宋体" w:cs="宋体"/>
          <w:color w:val="000000"/>
          <w:kern w:val="0"/>
          <w:sz w:val="24"/>
          <w:szCs w:val="24"/>
          <w:highlight w:val="none"/>
          <w:lang w:val="en-US" w:eastAsia="zh-CN"/>
        </w:rPr>
        <w:t>13</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项目名称：</w:t>
      </w:r>
      <w:r>
        <w:rPr>
          <w:rFonts w:hint="eastAsia" w:ascii="宋体" w:hAnsi="宋体" w:eastAsia="宋体" w:cs="宋体"/>
          <w:color w:val="000000"/>
          <w:kern w:val="0"/>
          <w:sz w:val="24"/>
          <w:szCs w:val="24"/>
          <w:highlight w:val="none"/>
          <w:lang w:val="en-US" w:eastAsia="zh-CN"/>
        </w:rPr>
        <w:t>哈尔滨工程大学室外体育设施器材购置项目</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采购方式：竞争性磋商</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预算金额：</w:t>
      </w:r>
      <w:r>
        <w:rPr>
          <w:rFonts w:hint="eastAsia" w:ascii="宋体" w:hAnsi="宋体" w:eastAsia="宋体" w:cs="宋体"/>
          <w:color w:val="000000"/>
          <w:kern w:val="0"/>
          <w:sz w:val="24"/>
          <w:szCs w:val="24"/>
          <w:highlight w:val="none"/>
          <w:lang w:val="en-US" w:eastAsia="zh-CN"/>
        </w:rPr>
        <w:t>中央高校改善基本办学条件经费；</w:t>
      </w:r>
      <w:r>
        <w:rPr>
          <w:rFonts w:hint="eastAsia" w:ascii="宋体" w:hAnsi="宋体" w:eastAsia="宋体" w:cs="宋体"/>
          <w:color w:val="000000"/>
          <w:kern w:val="0"/>
          <w:sz w:val="24"/>
          <w:szCs w:val="24"/>
          <w:highlight w:val="none"/>
        </w:rPr>
        <w:t>人民</w:t>
      </w:r>
      <w:r>
        <w:rPr>
          <w:rFonts w:hint="eastAsia" w:ascii="宋体" w:hAnsi="宋体" w:eastAsia="宋体" w:cs="宋体"/>
          <w:color w:val="000000"/>
          <w:kern w:val="0"/>
          <w:sz w:val="24"/>
          <w:szCs w:val="24"/>
          <w:highlight w:val="none"/>
          <w:lang w:val="en-US" w:eastAsia="zh-CN"/>
        </w:rPr>
        <w:t>币90万元</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采购需求：</w:t>
      </w:r>
      <w:r>
        <w:rPr>
          <w:rFonts w:hint="eastAsia" w:ascii="宋体" w:hAnsi="宋体" w:eastAsia="宋体" w:cs="宋体"/>
          <w:color w:val="000000"/>
          <w:kern w:val="0"/>
          <w:sz w:val="24"/>
          <w:szCs w:val="24"/>
          <w:highlight w:val="none"/>
          <w:lang w:val="zh-TW" w:eastAsia="zh-CN"/>
        </w:rPr>
        <w:t>移动式足球门、主客队替补席、角旗等（详见磋商文件）</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合同履行期限：</w:t>
      </w:r>
      <w:r>
        <w:rPr>
          <w:rFonts w:hint="eastAsia" w:ascii="宋体" w:hAnsi="宋体" w:eastAsia="宋体" w:cs="宋体"/>
          <w:color w:val="000000"/>
          <w:kern w:val="0"/>
          <w:sz w:val="24"/>
          <w:szCs w:val="24"/>
          <w:highlight w:val="none"/>
          <w:lang w:val="zh-TW" w:eastAsia="zh-CN"/>
        </w:rPr>
        <w:t>合同签订后</w:t>
      </w:r>
      <w:r>
        <w:rPr>
          <w:rFonts w:hint="default" w:ascii="宋体" w:hAnsi="宋体" w:eastAsia="宋体" w:cs="宋体"/>
          <w:color w:val="000000"/>
          <w:kern w:val="0"/>
          <w:sz w:val="24"/>
          <w:szCs w:val="24"/>
          <w:highlight w:val="none"/>
          <w:lang w:val="en-US" w:eastAsia="zh-CN"/>
        </w:rPr>
        <w:t>20</w:t>
      </w:r>
      <w:r>
        <w:rPr>
          <w:rFonts w:hint="eastAsia" w:ascii="宋体" w:hAnsi="宋体" w:eastAsia="宋体" w:cs="宋体"/>
          <w:color w:val="000000"/>
          <w:kern w:val="0"/>
          <w:sz w:val="24"/>
          <w:szCs w:val="24"/>
          <w:highlight w:val="none"/>
          <w:lang w:val="en-US" w:eastAsia="zh-CN"/>
        </w:rPr>
        <w:t>天</w:t>
      </w:r>
      <w:r>
        <w:rPr>
          <w:rFonts w:hint="eastAsia" w:ascii="宋体" w:hAnsi="宋体" w:eastAsia="宋体" w:cs="宋体"/>
          <w:color w:val="000000"/>
          <w:kern w:val="0"/>
          <w:sz w:val="24"/>
          <w:szCs w:val="24"/>
          <w:highlight w:val="none"/>
          <w:lang w:val="zh-TW" w:eastAsia="zh-CN"/>
        </w:rPr>
        <w:t>内完成供货、安装、调试</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本项目</w:t>
      </w:r>
      <w:r>
        <w:rPr>
          <w:rFonts w:hint="eastAsia" w:ascii="宋体" w:hAnsi="宋体" w:eastAsia="宋体" w:cs="宋体"/>
          <w:color w:val="000000"/>
          <w:kern w:val="0"/>
          <w:sz w:val="24"/>
          <w:szCs w:val="24"/>
          <w:highlight w:val="none"/>
          <w:lang w:eastAsia="zh-CN"/>
        </w:rPr>
        <w:t>不</w:t>
      </w:r>
      <w:r>
        <w:rPr>
          <w:rFonts w:hint="eastAsia" w:ascii="宋体" w:hAnsi="宋体" w:eastAsia="宋体" w:cs="宋体"/>
          <w:color w:val="000000"/>
          <w:kern w:val="0"/>
          <w:sz w:val="24"/>
          <w:szCs w:val="24"/>
          <w:highlight w:val="none"/>
        </w:rPr>
        <w:t>接受联合体。</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bookmarkStart w:id="8" w:name="_Toc35393799"/>
      <w:bookmarkStart w:id="9" w:name="_Toc28359013"/>
      <w:bookmarkStart w:id="10" w:name="_Toc35393630"/>
      <w:bookmarkStart w:id="11" w:name="_Toc28359090"/>
      <w:r>
        <w:rPr>
          <w:rFonts w:hint="eastAsia" w:ascii="宋体" w:hAnsi="宋体" w:eastAsia="宋体" w:cs="宋体"/>
          <w:color w:val="000000"/>
          <w:kern w:val="0"/>
          <w:sz w:val="24"/>
          <w:szCs w:val="24"/>
          <w:highlight w:val="none"/>
        </w:rPr>
        <w:t>二、申请人的资格要求：</w:t>
      </w:r>
      <w:bookmarkEnd w:id="8"/>
      <w:bookmarkEnd w:id="9"/>
      <w:bookmarkEnd w:id="10"/>
      <w:bookmarkEnd w:id="11"/>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1.满足《中华人民共和国政府采购法》第二十二条规定；</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lang w:eastAsia="zh-CN"/>
        </w:rPr>
      </w:pPr>
      <w:bookmarkStart w:id="12" w:name="_Toc28359091"/>
      <w:bookmarkStart w:id="13" w:name="_Toc28359014"/>
      <w:r>
        <w:rPr>
          <w:rFonts w:hint="eastAsia" w:ascii="宋体" w:hAnsi="宋体" w:eastAsia="宋体" w:cs="宋体"/>
          <w:color w:val="000000"/>
          <w:kern w:val="0"/>
          <w:sz w:val="24"/>
          <w:szCs w:val="24"/>
          <w:highlight w:val="none"/>
        </w:rPr>
        <w:t>2.落实政府采购政策需满足的资格要求：</w:t>
      </w:r>
      <w:r>
        <w:rPr>
          <w:rFonts w:hint="eastAsia" w:ascii="宋体" w:hAnsi="宋体" w:eastAsia="宋体" w:cs="宋体"/>
          <w:color w:val="000000"/>
          <w:kern w:val="0"/>
          <w:sz w:val="24"/>
          <w:szCs w:val="24"/>
          <w:highlight w:val="none"/>
          <w:lang w:eastAsia="zh-CN"/>
        </w:rPr>
        <w:t>无</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3.本项目的特定资格要求：</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3.1</w:t>
      </w:r>
      <w:r>
        <w:rPr>
          <w:rFonts w:hint="eastAsia" w:ascii="宋体" w:hAnsi="宋体" w:eastAsia="宋体" w:cs="宋体"/>
          <w:color w:val="000000"/>
          <w:kern w:val="0"/>
          <w:sz w:val="24"/>
          <w:szCs w:val="24"/>
          <w:highlight w:val="none"/>
        </w:rPr>
        <w:t>拟参加本项目磋商的潜在供应商应具备所投报货物的生产或经销能力；</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3.2</w:t>
      </w:r>
      <w:r>
        <w:rPr>
          <w:rFonts w:hint="eastAsia" w:ascii="宋体" w:hAnsi="宋体" w:eastAsia="宋体" w:cs="宋体"/>
          <w:color w:val="000000"/>
          <w:kern w:val="0"/>
          <w:sz w:val="24"/>
          <w:szCs w:val="24"/>
          <w:highlight w:val="none"/>
        </w:rPr>
        <w:t>供应商参加政府采购活动近三年内没有重大违法记录，对列入失信被执行人、重大税收违法案件当事人名单、以及政府采购严重违法失信行为记录名单中被禁止参加1至3年政府采购活动的供应商（处罚期限尚未届满的），不得参与政府采购活动。供应商信用记录核查路径：</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1）“信用中国”网站（www.creditchina.gov.cn）；</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2）“中国政府采购网”（www.ccgp.gov.cn/cr/list）；</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lang w:val="en-US" w:eastAsia="zh-CN"/>
        </w:rPr>
      </w:pPr>
      <w:bookmarkStart w:id="14" w:name="_Toc3051"/>
      <w:bookmarkStart w:id="15" w:name="_Toc30127"/>
      <w:bookmarkStart w:id="16" w:name="_Toc30668"/>
      <w:r>
        <w:rPr>
          <w:rFonts w:hint="eastAsia" w:ascii="宋体" w:hAnsi="宋体" w:eastAsia="宋体" w:cs="宋体"/>
          <w:color w:val="000000"/>
          <w:kern w:val="0"/>
          <w:sz w:val="24"/>
          <w:szCs w:val="24"/>
          <w:highlight w:val="none"/>
          <w:lang w:val="en-US" w:eastAsia="zh-CN"/>
        </w:rPr>
        <w:t>3）“国家企业信用信息公示系统”（http://www.gsxt.gov.cn/index.html）</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注：供应商应在响应文中提供‘没有重</w:t>
      </w:r>
      <w:r>
        <w:rPr>
          <w:rFonts w:hint="eastAsia" w:ascii="宋体" w:hAnsi="宋体" w:eastAsia="宋体" w:cs="宋体"/>
          <w:color w:val="000000"/>
          <w:kern w:val="0"/>
          <w:sz w:val="24"/>
          <w:szCs w:val="24"/>
          <w:highlight w:val="none"/>
          <w:lang w:eastAsia="zh-CN"/>
        </w:rPr>
        <w:t>大违法记录的声明’</w:t>
      </w:r>
      <w:r>
        <w:rPr>
          <w:rFonts w:hint="eastAsia" w:ascii="宋体" w:hAnsi="宋体" w:eastAsia="宋体" w:cs="宋体"/>
          <w:color w:val="000000"/>
          <w:kern w:val="0"/>
          <w:sz w:val="24"/>
          <w:szCs w:val="24"/>
          <w:highlight w:val="none"/>
          <w:lang w:val="en-US" w:eastAsia="zh-CN"/>
        </w:rPr>
        <w:t>；</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3.3</w:t>
      </w:r>
      <w:r>
        <w:rPr>
          <w:rFonts w:hint="eastAsia" w:ascii="宋体" w:hAnsi="宋体" w:eastAsia="宋体" w:cs="宋体"/>
          <w:color w:val="000000"/>
          <w:kern w:val="0"/>
          <w:sz w:val="24"/>
          <w:szCs w:val="24"/>
          <w:highlight w:val="none"/>
        </w:rPr>
        <w:t>参加磋商的供应商代表必须是法定代表人或法定代表人授权代表；</w:t>
      </w:r>
    </w:p>
    <w:bookmarkEnd w:id="14"/>
    <w:bookmarkEnd w:id="15"/>
    <w:bookmarkEnd w:id="16"/>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3.4</w:t>
      </w:r>
      <w:r>
        <w:rPr>
          <w:rFonts w:hint="eastAsia" w:ascii="宋体" w:hAnsi="宋体" w:eastAsia="宋体" w:cs="宋体"/>
          <w:color w:val="000000"/>
          <w:kern w:val="0"/>
          <w:sz w:val="24"/>
          <w:szCs w:val="24"/>
          <w:highlight w:val="none"/>
        </w:rPr>
        <w:t>本项目不接受联合体磋商</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bookmarkStart w:id="17" w:name="_Toc35393800"/>
      <w:bookmarkStart w:id="18" w:name="_Toc35393631"/>
      <w:r>
        <w:rPr>
          <w:rFonts w:hint="eastAsia" w:ascii="宋体" w:hAnsi="宋体" w:eastAsia="宋体" w:cs="宋体"/>
          <w:color w:val="000000"/>
          <w:kern w:val="0"/>
          <w:sz w:val="24"/>
          <w:szCs w:val="24"/>
          <w:highlight w:val="none"/>
        </w:rPr>
        <w:t>三、获取采购文件</w:t>
      </w:r>
      <w:bookmarkEnd w:id="12"/>
      <w:bookmarkEnd w:id="13"/>
      <w:bookmarkEnd w:id="17"/>
      <w:bookmarkEnd w:id="18"/>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时间：</w:t>
      </w:r>
      <w:r>
        <w:rPr>
          <w:rFonts w:hint="eastAsia" w:ascii="宋体" w:hAnsi="宋体" w:eastAsia="宋体" w:cs="宋体"/>
          <w:color w:val="000000"/>
          <w:kern w:val="0"/>
          <w:sz w:val="24"/>
          <w:szCs w:val="24"/>
          <w:highlight w:val="none"/>
          <w:lang w:val="en-US" w:eastAsia="zh-CN"/>
        </w:rPr>
        <w:t>2020</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08</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日至</w:t>
      </w:r>
      <w:r>
        <w:rPr>
          <w:rFonts w:hint="eastAsia" w:ascii="宋体" w:hAnsi="宋体" w:eastAsia="宋体" w:cs="宋体"/>
          <w:color w:val="000000"/>
          <w:kern w:val="0"/>
          <w:sz w:val="24"/>
          <w:szCs w:val="24"/>
          <w:highlight w:val="none"/>
          <w:lang w:val="en-US" w:eastAsia="zh-CN"/>
        </w:rPr>
        <w:t>2020</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08</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14</w:t>
      </w:r>
      <w:r>
        <w:rPr>
          <w:rFonts w:hint="eastAsia" w:ascii="宋体" w:hAnsi="宋体" w:eastAsia="宋体" w:cs="宋体"/>
          <w:color w:val="000000"/>
          <w:kern w:val="0"/>
          <w:sz w:val="24"/>
          <w:szCs w:val="24"/>
          <w:highlight w:val="none"/>
        </w:rPr>
        <w:t>日，每天上午</w:t>
      </w:r>
      <w:r>
        <w:rPr>
          <w:rFonts w:hint="eastAsia" w:ascii="宋体" w:hAnsi="宋体" w:eastAsia="宋体" w:cs="宋体"/>
          <w:color w:val="000000"/>
          <w:kern w:val="0"/>
          <w:sz w:val="24"/>
          <w:szCs w:val="24"/>
          <w:highlight w:val="none"/>
          <w:lang w:val="en-US" w:eastAsia="zh-CN"/>
        </w:rPr>
        <w:t>08:3</w:t>
      </w:r>
      <w:r>
        <w:rPr>
          <w:rFonts w:hint="eastAsia" w:ascii="宋体" w:hAnsi="宋体" w:eastAsia="宋体" w:cs="宋体"/>
          <w:color w:val="000000"/>
          <w:kern w:val="0"/>
          <w:sz w:val="24"/>
          <w:szCs w:val="24"/>
          <w:highlight w:val="none"/>
        </w:rPr>
        <w:t>至</w:t>
      </w:r>
      <w:r>
        <w:rPr>
          <w:rFonts w:hint="eastAsia" w:ascii="宋体" w:hAnsi="宋体" w:eastAsia="宋体" w:cs="宋体"/>
          <w:color w:val="000000"/>
          <w:kern w:val="0"/>
          <w:sz w:val="24"/>
          <w:szCs w:val="24"/>
          <w:highlight w:val="none"/>
          <w:lang w:val="en-US" w:eastAsia="zh-CN"/>
        </w:rPr>
        <w:t>11:30</w:t>
      </w:r>
      <w:r>
        <w:rPr>
          <w:rFonts w:hint="eastAsia" w:ascii="宋体" w:hAnsi="宋体" w:eastAsia="宋体" w:cs="宋体"/>
          <w:color w:val="000000"/>
          <w:kern w:val="0"/>
          <w:sz w:val="24"/>
          <w:szCs w:val="24"/>
          <w:highlight w:val="none"/>
        </w:rPr>
        <w:t>，下午</w:t>
      </w:r>
      <w:r>
        <w:rPr>
          <w:rFonts w:hint="eastAsia" w:ascii="宋体" w:hAnsi="宋体" w:eastAsia="宋体" w:cs="宋体"/>
          <w:color w:val="000000"/>
          <w:kern w:val="0"/>
          <w:sz w:val="24"/>
          <w:szCs w:val="24"/>
          <w:highlight w:val="none"/>
          <w:lang w:val="en-US" w:eastAsia="zh-CN"/>
        </w:rPr>
        <w:t>13：30</w:t>
      </w:r>
      <w:r>
        <w:rPr>
          <w:rFonts w:hint="eastAsia" w:ascii="宋体" w:hAnsi="宋体" w:eastAsia="宋体" w:cs="宋体"/>
          <w:color w:val="000000"/>
          <w:kern w:val="0"/>
          <w:sz w:val="24"/>
          <w:szCs w:val="24"/>
          <w:highlight w:val="none"/>
        </w:rPr>
        <w:t>至</w:t>
      </w:r>
      <w:r>
        <w:rPr>
          <w:rFonts w:hint="eastAsia" w:ascii="宋体" w:hAnsi="宋体" w:eastAsia="宋体" w:cs="宋体"/>
          <w:color w:val="000000"/>
          <w:kern w:val="0"/>
          <w:sz w:val="24"/>
          <w:szCs w:val="24"/>
          <w:highlight w:val="none"/>
          <w:lang w:val="en-US" w:eastAsia="zh-CN"/>
        </w:rPr>
        <w:t>16:30</w:t>
      </w:r>
      <w:r>
        <w:rPr>
          <w:rFonts w:hint="eastAsia" w:ascii="宋体" w:hAnsi="宋体" w:eastAsia="宋体" w:cs="宋体"/>
          <w:color w:val="000000"/>
          <w:kern w:val="0"/>
          <w:sz w:val="24"/>
          <w:szCs w:val="24"/>
          <w:highlight w:val="none"/>
        </w:rPr>
        <w:t>（北京时间，法定节假日除外 ）</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地点：</w:t>
      </w:r>
      <w:r>
        <w:rPr>
          <w:rFonts w:hint="eastAsia" w:ascii="宋体" w:hAnsi="宋体" w:eastAsia="宋体" w:cs="宋体"/>
          <w:color w:val="000000"/>
          <w:kern w:val="0"/>
          <w:sz w:val="24"/>
          <w:szCs w:val="24"/>
          <w:highlight w:val="none"/>
          <w:lang w:eastAsia="zh-CN"/>
        </w:rPr>
        <w:t>线上发售</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方式：本项目因受疫情影响，故采用线上发售标书凡有意参加磋商的供应商，如资格条件符合本项目“供应商的资格要求”并确定参加本次磋商活动，于2020年</w:t>
      </w:r>
      <w:r>
        <w:rPr>
          <w:rFonts w:hint="eastAsia" w:ascii="宋体" w:hAnsi="宋体" w:eastAsia="宋体" w:cs="宋体"/>
          <w:color w:val="000000"/>
          <w:kern w:val="0"/>
          <w:sz w:val="24"/>
          <w:szCs w:val="24"/>
          <w:highlight w:val="none"/>
          <w:lang w:val="en-US" w:eastAsia="zh-CN"/>
        </w:rPr>
        <w:t>08</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日至2020年</w:t>
      </w:r>
      <w:r>
        <w:rPr>
          <w:rFonts w:hint="eastAsia" w:ascii="宋体" w:hAnsi="宋体" w:eastAsia="宋体" w:cs="宋体"/>
          <w:color w:val="000000"/>
          <w:kern w:val="0"/>
          <w:sz w:val="24"/>
          <w:szCs w:val="24"/>
          <w:highlight w:val="none"/>
          <w:lang w:val="en-US" w:eastAsia="zh-CN"/>
        </w:rPr>
        <w:t>08</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14</w:t>
      </w:r>
      <w:r>
        <w:rPr>
          <w:rFonts w:hint="eastAsia" w:ascii="宋体" w:hAnsi="宋体" w:eastAsia="宋体" w:cs="宋体"/>
          <w:color w:val="000000"/>
          <w:kern w:val="0"/>
          <w:sz w:val="24"/>
          <w:szCs w:val="24"/>
          <w:highlight w:val="none"/>
        </w:rPr>
        <w:t>日，每天上午08：30至11：30，下午13：30至16：30（北京时间，法定节假日除外）获取由代理机构提供电子版本磋商文件，逾期不予受理。</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标书费汇款信息及账户</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户名：正信伟业工程咨询管理有限公司</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开户行：上海浦东发展银行哈尔滨分行营业部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账号：65010155100001712</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递交方式：从供应商企业基本账户进行转账的形式交纳。</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注：汇款时需备注哈工程</w:t>
      </w:r>
      <w:r>
        <w:rPr>
          <w:rFonts w:hint="eastAsia" w:ascii="宋体" w:hAnsi="宋体" w:eastAsia="宋体" w:cs="宋体"/>
          <w:color w:val="000000"/>
          <w:kern w:val="0"/>
          <w:sz w:val="24"/>
          <w:szCs w:val="24"/>
          <w:highlight w:val="none"/>
          <w:lang w:val="en-US" w:eastAsia="zh-CN"/>
        </w:rPr>
        <w:t>体育设施</w:t>
      </w:r>
      <w:r>
        <w:rPr>
          <w:rFonts w:hint="eastAsia" w:ascii="宋体" w:hAnsi="宋体" w:eastAsia="宋体" w:cs="宋体"/>
          <w:color w:val="000000"/>
          <w:kern w:val="0"/>
          <w:sz w:val="24"/>
          <w:szCs w:val="24"/>
          <w:highlight w:val="none"/>
        </w:rPr>
        <w:t>标书费</w:t>
      </w:r>
      <w:r>
        <w:rPr>
          <w:rFonts w:hint="eastAsia" w:ascii="宋体" w:hAnsi="宋体" w:eastAsia="宋体" w:cs="宋体"/>
          <w:color w:val="000000"/>
          <w:kern w:val="0"/>
          <w:sz w:val="24"/>
          <w:szCs w:val="24"/>
          <w:highlight w:val="none"/>
          <w:lang w:eastAsia="zh-CN"/>
        </w:rPr>
        <w:t>；</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售价：500元/本</w:t>
      </w:r>
      <w:r>
        <w:rPr>
          <w:rFonts w:hint="eastAsia" w:ascii="宋体" w:hAnsi="宋体" w:eastAsia="宋体" w:cs="宋体"/>
          <w:color w:val="000000"/>
          <w:kern w:val="0"/>
          <w:sz w:val="24"/>
          <w:szCs w:val="24"/>
          <w:highlight w:val="none"/>
          <w:lang w:eastAsia="zh-CN"/>
        </w:rPr>
        <w:t>。</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bookmarkStart w:id="19" w:name="_Toc35393632"/>
      <w:bookmarkStart w:id="20" w:name="_Toc35393801"/>
      <w:bookmarkStart w:id="21" w:name="_Toc28359015"/>
      <w:bookmarkStart w:id="22" w:name="_Toc28359092"/>
      <w:r>
        <w:rPr>
          <w:rFonts w:hint="eastAsia" w:ascii="宋体" w:hAnsi="宋体" w:eastAsia="宋体" w:cs="宋体"/>
          <w:color w:val="000000"/>
          <w:kern w:val="0"/>
          <w:sz w:val="24"/>
          <w:szCs w:val="24"/>
          <w:highlight w:val="none"/>
        </w:rPr>
        <w:t>四、响应文件提交</w:t>
      </w:r>
      <w:bookmarkEnd w:id="19"/>
      <w:bookmarkEnd w:id="20"/>
      <w:bookmarkEnd w:id="21"/>
      <w:bookmarkEnd w:id="22"/>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截止时间：</w:t>
      </w:r>
      <w:r>
        <w:rPr>
          <w:rFonts w:hint="eastAsia" w:ascii="宋体" w:hAnsi="宋体" w:eastAsia="宋体" w:cs="宋体"/>
          <w:color w:val="000000"/>
          <w:kern w:val="0"/>
          <w:sz w:val="24"/>
          <w:szCs w:val="24"/>
          <w:highlight w:val="none"/>
          <w:lang w:val="en-US" w:eastAsia="zh-CN"/>
        </w:rPr>
        <w:t>2020</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08</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24</w:t>
      </w:r>
      <w:r>
        <w:rPr>
          <w:rFonts w:hint="eastAsia" w:ascii="宋体" w:hAnsi="宋体" w:eastAsia="宋体" w:cs="宋体"/>
          <w:color w:val="000000"/>
          <w:kern w:val="0"/>
          <w:sz w:val="24"/>
          <w:szCs w:val="24"/>
          <w:highlight w:val="none"/>
        </w:rPr>
        <w:t>日</w:t>
      </w:r>
      <w:r>
        <w:rPr>
          <w:rFonts w:hint="eastAsia" w:ascii="宋体" w:hAnsi="宋体" w:eastAsia="宋体" w:cs="宋体"/>
          <w:color w:val="000000"/>
          <w:kern w:val="0"/>
          <w:sz w:val="24"/>
          <w:szCs w:val="24"/>
          <w:highlight w:val="none"/>
          <w:lang w:val="en-US" w:eastAsia="zh-CN"/>
        </w:rPr>
        <w:t>14</w:t>
      </w:r>
      <w:r>
        <w:rPr>
          <w:rFonts w:hint="eastAsia" w:ascii="宋体" w:hAnsi="宋体" w:eastAsia="宋体" w:cs="宋体"/>
          <w:color w:val="000000"/>
          <w:kern w:val="0"/>
          <w:sz w:val="24"/>
          <w:szCs w:val="24"/>
          <w:highlight w:val="none"/>
        </w:rPr>
        <w:t>点</w:t>
      </w:r>
      <w:r>
        <w:rPr>
          <w:rFonts w:hint="eastAsia" w:ascii="宋体" w:hAnsi="宋体" w:eastAsia="宋体" w:cs="宋体"/>
          <w:color w:val="000000"/>
          <w:kern w:val="0"/>
          <w:sz w:val="24"/>
          <w:szCs w:val="24"/>
          <w:highlight w:val="none"/>
          <w:lang w:val="en-US" w:eastAsia="zh-CN"/>
        </w:rPr>
        <w:t>00</w:t>
      </w:r>
      <w:r>
        <w:rPr>
          <w:rFonts w:hint="eastAsia" w:ascii="宋体" w:hAnsi="宋体" w:eastAsia="宋体" w:cs="宋体"/>
          <w:color w:val="000000"/>
          <w:kern w:val="0"/>
          <w:sz w:val="24"/>
          <w:szCs w:val="24"/>
          <w:highlight w:val="none"/>
        </w:rPr>
        <w:t>分（北京时间）</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地点：</w:t>
      </w:r>
      <w:r>
        <w:rPr>
          <w:rFonts w:hint="eastAsia" w:ascii="宋体" w:hAnsi="宋体" w:eastAsia="宋体" w:cs="宋体"/>
          <w:color w:val="000000"/>
          <w:kern w:val="0"/>
          <w:sz w:val="24"/>
          <w:szCs w:val="24"/>
          <w:highlight w:val="none"/>
          <w:lang w:eastAsia="zh-CN"/>
        </w:rPr>
        <w:t>正信伟业工程咨询管理有限公司</w:t>
      </w:r>
      <w:r>
        <w:rPr>
          <w:rFonts w:hint="eastAsia" w:ascii="宋体" w:hAnsi="宋体" w:eastAsia="宋体" w:cs="宋体"/>
          <w:color w:val="000000"/>
          <w:kern w:val="0"/>
          <w:sz w:val="24"/>
          <w:szCs w:val="24"/>
          <w:highlight w:val="none"/>
        </w:rPr>
        <w:t>开标大厅（黑龙江省哈尔滨市香坊区红旗大街235号投资大厦17层A座）</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bookmarkStart w:id="23" w:name="_Toc28359016"/>
      <w:bookmarkStart w:id="24" w:name="_Toc35393802"/>
      <w:bookmarkStart w:id="25" w:name="_Toc35393633"/>
      <w:bookmarkStart w:id="26" w:name="_Toc28359093"/>
      <w:r>
        <w:rPr>
          <w:rFonts w:hint="eastAsia" w:ascii="宋体" w:hAnsi="宋体" w:eastAsia="宋体" w:cs="宋体"/>
          <w:color w:val="000000"/>
          <w:kern w:val="0"/>
          <w:sz w:val="24"/>
          <w:szCs w:val="24"/>
          <w:highlight w:val="none"/>
        </w:rPr>
        <w:t>五、开启</w:t>
      </w:r>
      <w:bookmarkEnd w:id="23"/>
      <w:bookmarkEnd w:id="24"/>
      <w:bookmarkEnd w:id="25"/>
      <w:bookmarkEnd w:id="26"/>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时间：</w:t>
      </w:r>
      <w:r>
        <w:rPr>
          <w:rFonts w:hint="eastAsia" w:ascii="宋体" w:hAnsi="宋体" w:eastAsia="宋体" w:cs="宋体"/>
          <w:color w:val="000000"/>
          <w:kern w:val="0"/>
          <w:sz w:val="24"/>
          <w:szCs w:val="24"/>
          <w:highlight w:val="none"/>
          <w:lang w:val="en-US" w:eastAsia="zh-CN"/>
        </w:rPr>
        <w:t>2020</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08</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24</w:t>
      </w:r>
      <w:r>
        <w:rPr>
          <w:rFonts w:hint="eastAsia" w:ascii="宋体" w:hAnsi="宋体" w:eastAsia="宋体" w:cs="宋体"/>
          <w:color w:val="000000"/>
          <w:kern w:val="0"/>
          <w:sz w:val="24"/>
          <w:szCs w:val="24"/>
          <w:highlight w:val="none"/>
        </w:rPr>
        <w:t>日</w:t>
      </w:r>
      <w:r>
        <w:rPr>
          <w:rFonts w:hint="eastAsia" w:ascii="宋体" w:hAnsi="宋体" w:eastAsia="宋体" w:cs="宋体"/>
          <w:color w:val="000000"/>
          <w:kern w:val="0"/>
          <w:sz w:val="24"/>
          <w:szCs w:val="24"/>
          <w:highlight w:val="none"/>
          <w:lang w:val="en-US" w:eastAsia="zh-CN"/>
        </w:rPr>
        <w:t>14</w:t>
      </w:r>
      <w:r>
        <w:rPr>
          <w:rFonts w:hint="eastAsia" w:ascii="宋体" w:hAnsi="宋体" w:eastAsia="宋体" w:cs="宋体"/>
          <w:color w:val="000000"/>
          <w:kern w:val="0"/>
          <w:sz w:val="24"/>
          <w:szCs w:val="24"/>
          <w:highlight w:val="none"/>
        </w:rPr>
        <w:t>点</w:t>
      </w:r>
      <w:r>
        <w:rPr>
          <w:rFonts w:hint="eastAsia" w:ascii="宋体" w:hAnsi="宋体" w:eastAsia="宋体" w:cs="宋体"/>
          <w:color w:val="000000"/>
          <w:kern w:val="0"/>
          <w:sz w:val="24"/>
          <w:szCs w:val="24"/>
          <w:highlight w:val="none"/>
          <w:lang w:val="en-US" w:eastAsia="zh-CN"/>
        </w:rPr>
        <w:t>00</w:t>
      </w:r>
      <w:r>
        <w:rPr>
          <w:rFonts w:hint="eastAsia" w:ascii="宋体" w:hAnsi="宋体" w:eastAsia="宋体" w:cs="宋体"/>
          <w:color w:val="000000"/>
          <w:kern w:val="0"/>
          <w:sz w:val="24"/>
          <w:szCs w:val="24"/>
          <w:highlight w:val="none"/>
        </w:rPr>
        <w:t>分（北京时间）</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地点：</w:t>
      </w:r>
      <w:r>
        <w:rPr>
          <w:rFonts w:hint="eastAsia" w:ascii="宋体" w:hAnsi="宋体" w:eastAsia="宋体" w:cs="宋体"/>
          <w:color w:val="000000"/>
          <w:kern w:val="0"/>
          <w:sz w:val="24"/>
          <w:szCs w:val="24"/>
          <w:highlight w:val="none"/>
          <w:lang w:eastAsia="zh-CN"/>
        </w:rPr>
        <w:t>正信伟业工程咨询管理有限公司</w:t>
      </w:r>
      <w:r>
        <w:rPr>
          <w:rFonts w:hint="eastAsia" w:ascii="宋体" w:hAnsi="宋体" w:eastAsia="宋体" w:cs="宋体"/>
          <w:color w:val="000000"/>
          <w:kern w:val="0"/>
          <w:sz w:val="24"/>
          <w:szCs w:val="24"/>
          <w:highlight w:val="none"/>
        </w:rPr>
        <w:t>开标大厅（黑龙江省哈尔滨市香坊区红旗大街235号投资大厦17层A座）</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bookmarkStart w:id="27" w:name="_Toc28359094"/>
      <w:bookmarkStart w:id="28" w:name="_Toc28359017"/>
      <w:bookmarkStart w:id="29" w:name="_Toc35393803"/>
      <w:bookmarkStart w:id="30" w:name="_Toc35393634"/>
      <w:r>
        <w:rPr>
          <w:rFonts w:hint="eastAsia" w:ascii="宋体" w:hAnsi="宋体" w:eastAsia="宋体" w:cs="宋体"/>
          <w:color w:val="000000"/>
          <w:kern w:val="0"/>
          <w:sz w:val="24"/>
          <w:szCs w:val="24"/>
          <w:highlight w:val="none"/>
        </w:rPr>
        <w:t>六、公告期限</w:t>
      </w:r>
      <w:bookmarkEnd w:id="27"/>
      <w:bookmarkEnd w:id="28"/>
      <w:bookmarkEnd w:id="29"/>
      <w:bookmarkEnd w:id="30"/>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自本公告发布之日起</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个工作日。</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bookmarkStart w:id="31" w:name="_Toc35393635"/>
      <w:bookmarkStart w:id="32" w:name="_Toc35393804"/>
      <w:r>
        <w:rPr>
          <w:rFonts w:hint="eastAsia" w:ascii="宋体" w:hAnsi="宋体" w:eastAsia="宋体" w:cs="宋体"/>
          <w:color w:val="000000"/>
          <w:kern w:val="0"/>
          <w:sz w:val="24"/>
          <w:szCs w:val="24"/>
          <w:highlight w:val="none"/>
        </w:rPr>
        <w:t>七、其他补充事宜</w:t>
      </w:r>
      <w:bookmarkEnd w:id="31"/>
      <w:bookmarkEnd w:id="32"/>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val="zh-TW" w:eastAsia="zh-CN"/>
        </w:rPr>
        <w:t>交货地点：采购人指定位置</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2.磋商代表须持本人身份证原件及法定代表人授权书（若法人作为磋商代表仅需身份证原件）亲自递交响应文件，否则拒收响应文件。</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3.在疫情结束前：</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按照国家、黑龙江省、哈尔滨市相关疫情防控要求，采购代理机构建立本项目的登记问询制度，逐一登记人员的基本信息、测量、记录体温，发现情况异常的，采购代理机构有权拒绝其参与，并向本级防疫部门报告。</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（2）请供应商代表提前到达采购代理机构配合相关防疫登记检查。</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（3）参加本项目磋商的供应商单位人员建议为供应商代表1人，到场人员需自备口罩等防护工具，做好个人防护。</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（4）因疫情防控情况尚不明确，若无法正常进行磋商，则时间另行通知</w:t>
      </w:r>
      <w:r>
        <w:rPr>
          <w:rFonts w:hint="eastAsia" w:ascii="宋体" w:hAnsi="宋体" w:eastAsia="宋体" w:cs="宋体"/>
          <w:color w:val="000000"/>
          <w:kern w:val="0"/>
          <w:sz w:val="24"/>
          <w:szCs w:val="24"/>
          <w:highlight w:val="none"/>
        </w:rPr>
        <w:t>。</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（5）请供应商自行关注国家、黑龙江省、哈尔滨市相关疫情防控要求</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bookmarkStart w:id="33" w:name="_Toc28359095"/>
      <w:bookmarkStart w:id="34" w:name="_Toc35393805"/>
      <w:bookmarkStart w:id="35" w:name="_Toc35393636"/>
      <w:bookmarkStart w:id="36" w:name="_Toc28359018"/>
      <w:r>
        <w:rPr>
          <w:rFonts w:hint="eastAsia" w:ascii="宋体" w:hAnsi="宋体" w:eastAsia="宋体" w:cs="宋体"/>
          <w:color w:val="000000"/>
          <w:kern w:val="0"/>
          <w:sz w:val="24"/>
          <w:szCs w:val="24"/>
          <w:highlight w:val="none"/>
        </w:rPr>
        <w:t>八、凡对本次采购提出询问，请按以下方式联系。</w:t>
      </w:r>
      <w:bookmarkEnd w:id="33"/>
      <w:bookmarkEnd w:id="34"/>
      <w:bookmarkEnd w:id="35"/>
      <w:bookmarkEnd w:id="36"/>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bookmarkStart w:id="37" w:name="_Toc28359019"/>
      <w:bookmarkStart w:id="38" w:name="_Toc35393806"/>
      <w:bookmarkStart w:id="39" w:name="_Toc28359096"/>
      <w:bookmarkStart w:id="40" w:name="_Toc35393637"/>
      <w:r>
        <w:rPr>
          <w:rFonts w:hint="eastAsia" w:ascii="宋体" w:hAnsi="宋体" w:eastAsia="宋体" w:cs="宋体"/>
          <w:color w:val="000000"/>
          <w:kern w:val="0"/>
          <w:sz w:val="24"/>
          <w:szCs w:val="24"/>
          <w:highlight w:val="none"/>
        </w:rPr>
        <w:t>1.采购人信息</w:t>
      </w:r>
      <w:bookmarkEnd w:id="37"/>
      <w:bookmarkEnd w:id="38"/>
      <w:bookmarkEnd w:id="39"/>
      <w:bookmarkEnd w:id="40"/>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名    称：</w:t>
      </w:r>
      <w:r>
        <w:rPr>
          <w:rFonts w:hint="eastAsia" w:ascii="宋体" w:hAnsi="宋体" w:eastAsia="宋体" w:cs="宋体"/>
          <w:color w:val="000000"/>
          <w:kern w:val="0"/>
          <w:sz w:val="24"/>
          <w:szCs w:val="24"/>
          <w:highlight w:val="none"/>
          <w:lang w:val="en-US" w:eastAsia="zh-CN"/>
        </w:rPr>
        <w:t>哈尔滨工程大学　</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    址：</w:t>
      </w:r>
      <w:r>
        <w:rPr>
          <w:rFonts w:hint="eastAsia" w:ascii="宋体" w:hAnsi="宋体" w:eastAsia="宋体" w:cs="宋体"/>
          <w:color w:val="000000"/>
          <w:kern w:val="0"/>
          <w:sz w:val="24"/>
          <w:szCs w:val="24"/>
          <w:highlight w:val="none"/>
          <w:lang w:val="en-US" w:eastAsia="zh-CN"/>
        </w:rPr>
        <w:t>哈尔滨市南通大街145号</w:t>
      </w:r>
      <w:r>
        <w:rPr>
          <w:rFonts w:hint="eastAsia" w:ascii="宋体" w:hAnsi="宋体" w:eastAsia="宋体" w:cs="宋体"/>
          <w:color w:val="000000"/>
          <w:kern w:val="0"/>
          <w:sz w:val="24"/>
          <w:szCs w:val="24"/>
          <w:highlight w:val="none"/>
        </w:rPr>
        <w:t>　</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联系方式：</w:t>
      </w:r>
      <w:r>
        <w:rPr>
          <w:rFonts w:hint="eastAsia" w:ascii="宋体" w:hAnsi="宋体" w:eastAsia="宋体" w:cs="宋体"/>
          <w:color w:val="000000"/>
          <w:kern w:val="0"/>
          <w:sz w:val="24"/>
          <w:szCs w:val="24"/>
          <w:highlight w:val="none"/>
          <w:lang w:val="en-US" w:eastAsia="zh-CN"/>
        </w:rPr>
        <w:t>0451-82519862　</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bookmarkStart w:id="41" w:name="_Toc28359020"/>
      <w:bookmarkStart w:id="42" w:name="_Toc35393638"/>
      <w:bookmarkStart w:id="43" w:name="_Toc35393807"/>
      <w:bookmarkStart w:id="44" w:name="_Toc28359097"/>
      <w:r>
        <w:rPr>
          <w:rFonts w:hint="eastAsia" w:ascii="宋体" w:hAnsi="宋体" w:eastAsia="宋体" w:cs="宋体"/>
          <w:color w:val="000000"/>
          <w:kern w:val="0"/>
          <w:sz w:val="24"/>
          <w:szCs w:val="24"/>
          <w:highlight w:val="none"/>
        </w:rPr>
        <w:t>2.采购代理机构信息</w:t>
      </w:r>
      <w:bookmarkEnd w:id="41"/>
      <w:bookmarkEnd w:id="42"/>
      <w:bookmarkEnd w:id="43"/>
      <w:bookmarkEnd w:id="44"/>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名    称：</w:t>
      </w:r>
      <w:r>
        <w:rPr>
          <w:rFonts w:hint="eastAsia" w:ascii="宋体" w:hAnsi="宋体" w:eastAsia="宋体" w:cs="宋体"/>
          <w:color w:val="000000"/>
          <w:kern w:val="0"/>
          <w:sz w:val="24"/>
          <w:szCs w:val="24"/>
          <w:highlight w:val="none"/>
          <w:lang w:val="en-US" w:eastAsia="zh-CN"/>
        </w:rPr>
        <w:t>正信伟业工程咨询管理有限公司</w:t>
      </w:r>
      <w:r>
        <w:rPr>
          <w:rFonts w:hint="eastAsia" w:ascii="宋体" w:hAnsi="宋体" w:eastAsia="宋体" w:cs="宋体"/>
          <w:color w:val="000000"/>
          <w:kern w:val="0"/>
          <w:sz w:val="24"/>
          <w:szCs w:val="24"/>
          <w:highlight w:val="none"/>
        </w:rPr>
        <w:t>　</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　　址：</w:t>
      </w:r>
      <w:r>
        <w:rPr>
          <w:rFonts w:hint="eastAsia" w:ascii="宋体" w:hAnsi="宋体" w:eastAsia="宋体" w:cs="宋体"/>
          <w:color w:val="000000"/>
          <w:kern w:val="0"/>
          <w:sz w:val="24"/>
          <w:szCs w:val="24"/>
          <w:highlight w:val="none"/>
          <w:lang w:val="en-US" w:eastAsia="zh-CN"/>
        </w:rPr>
        <w:t>黑龙江省哈尔滨市香坊区红旗大街235号投资大厦20层</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联系方式：</w:t>
      </w:r>
      <w:r>
        <w:rPr>
          <w:rFonts w:hint="eastAsia" w:ascii="宋体" w:hAnsi="宋体" w:eastAsia="宋体" w:cs="宋体"/>
          <w:color w:val="000000"/>
          <w:kern w:val="0"/>
          <w:sz w:val="24"/>
          <w:szCs w:val="24"/>
          <w:highlight w:val="none"/>
          <w:lang w:val="en-US" w:eastAsia="zh-CN"/>
        </w:rPr>
        <w:t>0451-82362805</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bookmarkStart w:id="45" w:name="_Toc28359098"/>
      <w:bookmarkStart w:id="46" w:name="_Toc35393808"/>
      <w:bookmarkStart w:id="47" w:name="_Toc35393639"/>
      <w:bookmarkStart w:id="48" w:name="_Toc28359021"/>
      <w:r>
        <w:rPr>
          <w:rFonts w:hint="eastAsia" w:ascii="宋体" w:hAnsi="宋体" w:eastAsia="宋体" w:cs="宋体"/>
          <w:color w:val="000000"/>
          <w:kern w:val="0"/>
          <w:sz w:val="24"/>
          <w:szCs w:val="24"/>
          <w:highlight w:val="none"/>
        </w:rPr>
        <w:t>3.项目联系方式</w:t>
      </w:r>
      <w:bookmarkEnd w:id="45"/>
      <w:bookmarkEnd w:id="46"/>
      <w:bookmarkEnd w:id="47"/>
      <w:bookmarkEnd w:id="48"/>
    </w:p>
    <w:p>
      <w:pPr>
        <w:widowControl/>
        <w:snapToGrid w:val="0"/>
        <w:spacing w:line="360" w:lineRule="auto"/>
        <w:ind w:firstLine="484" w:firstLineChars="200"/>
        <w:jc w:val="left"/>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项目联系人：</w:t>
      </w:r>
      <w:r>
        <w:rPr>
          <w:rFonts w:hint="eastAsia" w:ascii="宋体" w:hAnsi="宋体" w:eastAsia="宋体" w:cs="宋体"/>
          <w:color w:val="000000"/>
          <w:kern w:val="0"/>
          <w:sz w:val="24"/>
          <w:szCs w:val="24"/>
          <w:highlight w:val="none"/>
          <w:lang w:val="en-US" w:eastAsia="zh-CN"/>
        </w:rPr>
        <w:t xml:space="preserve">邵先生 </w:t>
      </w:r>
    </w:p>
    <w:p>
      <w:pPr>
        <w:widowControl/>
        <w:snapToGrid w:val="0"/>
        <w:spacing w:line="360" w:lineRule="auto"/>
        <w:ind w:firstLine="484" w:firstLineChars="200"/>
        <w:jc w:val="left"/>
        <w:rPr>
          <w:highlight w:val="none"/>
        </w:rPr>
      </w:pPr>
      <w:r>
        <w:rPr>
          <w:rFonts w:hint="eastAsia" w:ascii="宋体" w:hAnsi="宋体" w:eastAsia="宋体" w:cs="宋体"/>
          <w:color w:val="000000"/>
          <w:kern w:val="0"/>
          <w:sz w:val="24"/>
          <w:szCs w:val="24"/>
          <w:highlight w:val="none"/>
        </w:rPr>
        <w:t xml:space="preserve">电　　 </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话：</w:t>
      </w:r>
      <w:r>
        <w:rPr>
          <w:rFonts w:hint="eastAsia" w:ascii="宋体" w:hAnsi="宋体" w:eastAsia="宋体" w:cs="宋体"/>
          <w:color w:val="000000"/>
          <w:kern w:val="0"/>
          <w:sz w:val="24"/>
          <w:szCs w:val="24"/>
          <w:highlight w:val="none"/>
          <w:lang w:val="en-US" w:eastAsia="zh-CN"/>
        </w:rPr>
        <w:t xml:space="preserve">0451-82362805-8072 </w:t>
      </w:r>
    </w:p>
    <w:p>
      <w:pPr>
        <w:keepNext w:val="0"/>
        <w:keepLines w:val="0"/>
        <w:pageBreakBefore w:val="0"/>
        <w:kinsoku/>
        <w:wordWrap/>
        <w:overflowPunct/>
        <w:topLinePunct w:val="0"/>
        <w:autoSpaceDE/>
        <w:autoSpaceDN/>
        <w:bidi w:val="0"/>
        <w:adjustRightInd/>
        <w:snapToGrid w:val="0"/>
        <w:spacing w:line="360" w:lineRule="auto"/>
        <w:ind w:firstLine="424" w:firstLineChars="20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keepNext/>
        <w:keepLines/>
        <w:widowControl/>
        <w:tabs>
          <w:tab w:val="left" w:pos="720"/>
        </w:tabs>
        <w:spacing w:before="120" w:after="120" w:line="360" w:lineRule="auto"/>
        <w:jc w:val="center"/>
        <w:outlineLvl w:val="0"/>
        <w:rPr>
          <w:rFonts w:hint="eastAsia" w:ascii="宋体" w:hAnsi="宋体" w:eastAsia="宋体" w:cs="宋体"/>
          <w:b/>
          <w:bCs/>
          <w:sz w:val="30"/>
          <w:szCs w:val="30"/>
          <w:highlight w:val="none"/>
        </w:rPr>
      </w:pPr>
      <w:bookmarkStart w:id="49" w:name="_Toc13810"/>
    </w:p>
    <w:p>
      <w:pPr>
        <w:keepNext/>
        <w:keepLines/>
        <w:widowControl/>
        <w:tabs>
          <w:tab w:val="left" w:pos="720"/>
        </w:tabs>
        <w:spacing w:before="120" w:after="120" w:line="360" w:lineRule="auto"/>
        <w:jc w:val="center"/>
        <w:outlineLvl w:val="0"/>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第二部分  供应商须知</w:t>
      </w:r>
      <w:bookmarkEnd w:id="49"/>
    </w:p>
    <w:p>
      <w:pPr>
        <w:snapToGrid w:val="0"/>
        <w:spacing w:line="360" w:lineRule="auto"/>
        <w:ind w:left="600"/>
        <w:jc w:val="center"/>
        <w:rPr>
          <w:rFonts w:hint="eastAsia" w:ascii="宋体" w:hAnsi="宋体" w:eastAsia="宋体" w:cs="宋体"/>
          <w:sz w:val="21"/>
          <w:szCs w:val="21"/>
          <w:highlight w:val="none"/>
        </w:rPr>
      </w:pPr>
    </w:p>
    <w:p>
      <w:pPr>
        <w:pStyle w:val="7"/>
        <w:widowControl/>
        <w:rPr>
          <w:rFonts w:hint="eastAsia" w:ascii="黑体" w:hAnsi="黑体" w:eastAsia="黑体" w:cs="黑体"/>
          <w:sz w:val="28"/>
          <w:szCs w:val="28"/>
          <w:highlight w:val="none"/>
        </w:rPr>
      </w:pPr>
      <w:r>
        <w:rPr>
          <w:rFonts w:hint="eastAsia" w:ascii="黑体" w:hAnsi="黑体" w:eastAsia="黑体" w:cs="黑体"/>
          <w:sz w:val="28"/>
          <w:szCs w:val="28"/>
          <w:highlight w:val="none"/>
        </w:rPr>
        <w:t>A说  明</w:t>
      </w:r>
    </w:p>
    <w:p>
      <w:pPr>
        <w:snapToGrid w:val="0"/>
        <w:ind w:left="600"/>
        <w:jc w:val="center"/>
        <w:rPr>
          <w:rFonts w:hint="eastAsia" w:ascii="宋体" w:hAnsi="宋体" w:eastAsia="宋体" w:cs="宋体"/>
          <w:sz w:val="21"/>
          <w:szCs w:val="21"/>
          <w:highlight w:val="none"/>
        </w:rPr>
      </w:pPr>
    </w:p>
    <w:p>
      <w:pPr>
        <w:snapToGrid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一、委托</w:t>
      </w:r>
    </w:p>
    <w:p>
      <w:pPr>
        <w:snapToGrid w:val="0"/>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如参加磋商的代表不是法定代表人，须持有《法定代表人授权书》（统一格式）。</w:t>
      </w:r>
    </w:p>
    <w:p>
      <w:pPr>
        <w:snapToGrid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二、费用</w:t>
      </w:r>
    </w:p>
    <w:p>
      <w:pPr>
        <w:snapToGrid w:val="0"/>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1.无论磋商过程中的作法和结果如何，参加磋商的供应商自行承担所有参加磋商有关的全部费用。</w:t>
      </w:r>
    </w:p>
    <w:p>
      <w:pPr>
        <w:snapToGrid w:val="0"/>
        <w:spacing w:line="360" w:lineRule="auto"/>
        <w:ind w:firstLine="424" w:firstLineChars="200"/>
        <w:rPr>
          <w:rFonts w:ascii="宋体" w:hAnsi="宋体" w:cs="宋体"/>
          <w:szCs w:val="21"/>
        </w:rPr>
      </w:pPr>
      <w:bookmarkStart w:id="50" w:name="_Toc865"/>
      <w:r>
        <w:rPr>
          <w:rFonts w:hint="eastAsia" w:ascii="宋体" w:hAnsi="宋体" w:cs="宋体"/>
          <w:szCs w:val="21"/>
        </w:rPr>
        <w:t>2、</w:t>
      </w:r>
      <w:r>
        <w:rPr>
          <w:rFonts w:hint="eastAsia" w:ascii="宋体" w:hAnsi="宋体" w:cs="宋体"/>
          <w:szCs w:val="21"/>
          <w:lang w:val="en-US" w:eastAsia="zh-CN"/>
        </w:rPr>
        <w:t>本次磋商代理服务费参照</w:t>
      </w:r>
      <w:r>
        <w:rPr>
          <w:rFonts w:hint="eastAsia" w:ascii="宋体" w:hAnsi="宋体" w:cs="宋体"/>
          <w:szCs w:val="21"/>
        </w:rPr>
        <w:t>执行《招标代理服务收费管理暂行办法》（计价格[2002]1980号）及《关于招标代理服务费收费有关问题的通知》（发改办价格[2003]857号），</w:t>
      </w:r>
      <w:r>
        <w:rPr>
          <w:rFonts w:hint="eastAsia" w:ascii="宋体" w:hAnsi="宋体" w:cs="宋体"/>
          <w:szCs w:val="21"/>
          <w:lang w:val="en-US" w:eastAsia="zh-CN"/>
        </w:rPr>
        <w:t>全额计取，由</w:t>
      </w:r>
      <w:r>
        <w:rPr>
          <w:rFonts w:hint="eastAsia" w:ascii="宋体" w:hAnsi="宋体" w:cs="宋体"/>
          <w:szCs w:val="21"/>
        </w:rPr>
        <w:t>成交供应商支付。</w:t>
      </w:r>
    </w:p>
    <w:p>
      <w:pPr>
        <w:snapToGrid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三、竞争性磋商文件的解释</w:t>
      </w:r>
      <w:bookmarkEnd w:id="50"/>
    </w:p>
    <w:p>
      <w:pPr>
        <w:snapToGrid w:val="0"/>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本竞争性磋商文件各条款由</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负责解释。</w:t>
      </w:r>
    </w:p>
    <w:p>
      <w:pPr>
        <w:snapToGrid w:val="0"/>
        <w:spacing w:line="360" w:lineRule="auto"/>
        <w:ind w:firstLine="424" w:firstLineChars="200"/>
        <w:rPr>
          <w:rFonts w:hint="eastAsia" w:ascii="宋体" w:hAnsi="宋体" w:eastAsia="宋体" w:cs="宋体"/>
          <w:sz w:val="21"/>
          <w:szCs w:val="21"/>
          <w:highlight w:val="none"/>
        </w:rPr>
      </w:pPr>
    </w:p>
    <w:p>
      <w:pPr>
        <w:snapToGrid w:val="0"/>
        <w:spacing w:line="360" w:lineRule="auto"/>
        <w:jc w:val="center"/>
        <w:rPr>
          <w:rFonts w:hint="eastAsia" w:ascii="黑体" w:hAnsi="黑体" w:eastAsia="黑体" w:cs="黑体"/>
          <w:b/>
          <w:bCs/>
          <w:sz w:val="28"/>
          <w:szCs w:val="28"/>
          <w:highlight w:val="none"/>
        </w:rPr>
      </w:pPr>
      <w:bookmarkStart w:id="51" w:name="_Toc467141130"/>
      <w:bookmarkStart w:id="52" w:name="_Toc466302627"/>
      <w:r>
        <w:rPr>
          <w:rFonts w:hint="eastAsia" w:ascii="黑体" w:hAnsi="黑体" w:eastAsia="黑体" w:cs="黑体"/>
          <w:b/>
          <w:bCs/>
          <w:sz w:val="28"/>
          <w:szCs w:val="28"/>
          <w:highlight w:val="none"/>
        </w:rPr>
        <w:t>B  磋商文件</w:t>
      </w:r>
      <w:bookmarkEnd w:id="51"/>
      <w:bookmarkEnd w:id="52"/>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四、竞争性磋商文件的构成</w:t>
      </w:r>
    </w:p>
    <w:p>
      <w:pPr>
        <w:spacing w:line="360" w:lineRule="auto"/>
        <w:ind w:firstLine="424"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竞争性磋商文件（以下简称磋商文件）由下列文件及在磋商过程中发出的更正和补充文件组成：</w:t>
      </w:r>
    </w:p>
    <w:p>
      <w:pPr>
        <w:spacing w:line="360" w:lineRule="auto"/>
        <w:ind w:firstLine="424"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第一部分  竞争性磋商公告</w:t>
      </w:r>
    </w:p>
    <w:p>
      <w:pPr>
        <w:spacing w:line="360" w:lineRule="auto"/>
        <w:ind w:firstLine="424"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第二部分  供应商须知</w:t>
      </w:r>
    </w:p>
    <w:p>
      <w:pPr>
        <w:spacing w:line="360" w:lineRule="auto"/>
        <w:ind w:firstLine="424"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第三部分  供货范围及技术要求</w:t>
      </w:r>
    </w:p>
    <w:p>
      <w:pPr>
        <w:spacing w:line="360" w:lineRule="auto"/>
        <w:ind w:firstLine="424"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第四部分  采购合同（参照执行）</w:t>
      </w:r>
    </w:p>
    <w:p>
      <w:pPr>
        <w:spacing w:line="360" w:lineRule="auto"/>
        <w:ind w:firstLine="424"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第五部分  响应文件格式及附件</w:t>
      </w:r>
    </w:p>
    <w:p>
      <w:pPr>
        <w:pStyle w:val="2"/>
        <w:ind w:firstLine="424"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第</w:t>
      </w:r>
      <w:r>
        <w:rPr>
          <w:rFonts w:hint="eastAsia" w:asciiTheme="minorEastAsia" w:hAnsiTheme="minorEastAsia" w:eastAsiaTheme="minorEastAsia" w:cstheme="minorEastAsia"/>
          <w:sz w:val="21"/>
          <w:szCs w:val="21"/>
          <w:highlight w:val="none"/>
          <w:lang w:val="en-US" w:eastAsia="zh-CN"/>
        </w:rPr>
        <w:t>六</w:t>
      </w:r>
      <w:r>
        <w:rPr>
          <w:rFonts w:hint="eastAsia" w:asciiTheme="minorEastAsia" w:hAnsiTheme="minorEastAsia" w:eastAsiaTheme="minorEastAsia" w:cstheme="minorEastAsia"/>
          <w:sz w:val="21"/>
          <w:szCs w:val="21"/>
          <w:highlight w:val="none"/>
        </w:rPr>
        <w:t xml:space="preserve">部分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kern w:val="44"/>
          <w:sz w:val="21"/>
          <w:szCs w:val="21"/>
        </w:rPr>
        <w:t>竞争性磋商最后报价书</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五、磋商文件的澄清和修改</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1.在磋商截止时间</w:t>
      </w:r>
      <w:r>
        <w:rPr>
          <w:rFonts w:hint="eastAsia" w:ascii="宋体" w:hAnsi="宋体" w:eastAsia="宋体" w:cs="宋体"/>
          <w:sz w:val="21"/>
          <w:szCs w:val="21"/>
          <w:highlight w:val="none"/>
          <w:lang w:val="en-US" w:eastAsia="zh-CN"/>
        </w:rPr>
        <w:t>五</w:t>
      </w:r>
      <w:r>
        <w:rPr>
          <w:rFonts w:hint="eastAsia" w:ascii="宋体" w:hAnsi="宋体" w:eastAsia="宋体" w:cs="宋体"/>
          <w:sz w:val="21"/>
          <w:szCs w:val="21"/>
          <w:highlight w:val="none"/>
        </w:rPr>
        <w:t>日前，代理机构可对磋商文件进行澄清或修改，在中国政府采购网</w:t>
      </w:r>
      <w:r>
        <w:rPr>
          <w:rFonts w:hint="eastAsia" w:ascii="宋体" w:hAnsi="宋体" w:eastAsia="宋体" w:cs="宋体"/>
          <w:sz w:val="21"/>
          <w:szCs w:val="21"/>
          <w:highlight w:val="none"/>
          <w:lang w:eastAsia="zh-CN"/>
        </w:rPr>
        <w:t>、中国招标投标网</w:t>
      </w:r>
      <w:r>
        <w:rPr>
          <w:rFonts w:hint="eastAsia" w:ascii="宋体" w:hAnsi="宋体" w:eastAsia="宋体" w:cs="宋体"/>
          <w:sz w:val="21"/>
          <w:szCs w:val="21"/>
          <w:highlight w:val="none"/>
        </w:rPr>
        <w:t>发布更正公告，并以书面形式通知所有报名成功并获取磋商文件的供应商。该澄清或修改的内容为磋商文件的组成部分。</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代理机构可根据实际情况，适当延长磋商响应文件递交截止时间和磋商开始时间。但至少应当在磋商文件要求提交响应文件的截止时间三日前，将变更时间通知所有报名成功并获取磋商文件的供应商，并在中国政府采购网</w:t>
      </w:r>
      <w:r>
        <w:rPr>
          <w:rFonts w:hint="eastAsia" w:ascii="宋体" w:hAnsi="宋体" w:eastAsia="宋体" w:cs="宋体"/>
          <w:sz w:val="21"/>
          <w:szCs w:val="21"/>
          <w:highlight w:val="none"/>
          <w:lang w:eastAsia="zh-CN"/>
        </w:rPr>
        <w:t>、中国招标投标网</w:t>
      </w:r>
      <w:r>
        <w:rPr>
          <w:rFonts w:hint="eastAsia" w:ascii="宋体" w:hAnsi="宋体" w:eastAsia="宋体" w:cs="宋体"/>
          <w:sz w:val="21"/>
          <w:szCs w:val="21"/>
          <w:highlight w:val="none"/>
        </w:rPr>
        <w:t>发布更正公告。</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六、质疑提起与受理</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1.供应商认为磋商文件、采购过程和成交结果使自己的权益受到损害时，可以向采购代理机构提出询问或质疑，且需提供相关举证材料，逾期提出无效。</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2.询问和质疑的提出与处理应依据政府采购相关规定办理。</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七、投诉</w:t>
      </w:r>
    </w:p>
    <w:p>
      <w:pPr>
        <w:snapToGrid w:val="0"/>
        <w:spacing w:line="360" w:lineRule="auto"/>
        <w:ind w:firstLine="424"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质疑供应商对采购代理机构的答复不满意，或者采购代理机构未在规定期限内作出答复的，可以在答复期满后15个工作日内向同级政府采购监督管理部门提起投诉。</w:t>
      </w:r>
    </w:p>
    <w:p>
      <w:pPr>
        <w:snapToGrid w:val="0"/>
        <w:spacing w:line="360" w:lineRule="auto"/>
        <w:ind w:firstLine="564" w:firstLineChars="200"/>
        <w:jc w:val="center"/>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C、响应文件</w:t>
      </w:r>
    </w:p>
    <w:p>
      <w:pPr>
        <w:snapToGrid w:val="0"/>
        <w:spacing w:line="360" w:lineRule="auto"/>
        <w:ind w:firstLine="484" w:firstLineChars="200"/>
        <w:jc w:val="center"/>
        <w:rPr>
          <w:rFonts w:hint="eastAsia" w:ascii="宋体" w:hAnsi="宋体" w:eastAsia="宋体" w:cs="宋体"/>
          <w:sz w:val="24"/>
          <w:szCs w:val="24"/>
          <w:highlight w:val="none"/>
        </w:rPr>
      </w:pP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九、响应文件计量单位</w:t>
      </w:r>
    </w:p>
    <w:p>
      <w:pPr>
        <w:snapToGrid w:val="0"/>
        <w:spacing w:line="360" w:lineRule="auto"/>
        <w:ind w:firstLine="424" w:firstLineChars="200"/>
        <w:rPr>
          <w:rFonts w:hint="eastAsia" w:ascii="宋体" w:hAnsi="宋体" w:eastAsia="宋体" w:cs="宋体"/>
          <w:sz w:val="24"/>
          <w:szCs w:val="24"/>
          <w:highlight w:val="none"/>
        </w:rPr>
      </w:pPr>
      <w:r>
        <w:rPr>
          <w:rFonts w:hint="eastAsia" w:ascii="宋体" w:hAnsi="宋体" w:eastAsia="宋体" w:cs="宋体"/>
          <w:sz w:val="21"/>
          <w:szCs w:val="21"/>
          <w:highlight w:val="none"/>
        </w:rPr>
        <w:t>响应文件中所使用的计量单位，除有特殊要求外，应采用国家法定计量单位，报价最小单位为人民币元。</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十、响应文件的组成</w:t>
      </w:r>
    </w:p>
    <w:p>
      <w:pPr>
        <w:pStyle w:val="6"/>
        <w:spacing w:before="0" w:after="0"/>
        <w:rPr>
          <w:rFonts w:hint="eastAsia" w:ascii="宋体" w:hAnsi="宋体" w:eastAsia="宋体" w:cs="宋体"/>
          <w:sz w:val="21"/>
          <w:szCs w:val="21"/>
          <w:highlight w:val="none"/>
        </w:rPr>
      </w:pPr>
      <w:bookmarkStart w:id="53" w:name="_Toc5598"/>
      <w:bookmarkStart w:id="54" w:name="_Toc11855"/>
      <w:bookmarkStart w:id="55" w:name="_Toc10738"/>
      <w:bookmarkStart w:id="56" w:name="_Toc24533"/>
      <w:r>
        <w:rPr>
          <w:rFonts w:hint="eastAsia" w:ascii="宋体" w:hAnsi="宋体" w:eastAsia="宋体" w:cs="宋体"/>
          <w:b w:val="0"/>
          <w:bCs/>
          <w:sz w:val="21"/>
          <w:szCs w:val="21"/>
          <w:highlight w:val="none"/>
        </w:rPr>
        <w:t>（一）响应文件（统一格式）包括：</w:t>
      </w:r>
      <w:bookmarkEnd w:id="53"/>
      <w:bookmarkEnd w:id="54"/>
      <w:bookmarkEnd w:id="55"/>
      <w:bookmarkEnd w:id="56"/>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1、法定代表人授权书</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2、响应书</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3、资格证明文件</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4、法定代表人和授权代表身份证明</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5、响应文件附件</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6、技术偏离表</w:t>
      </w:r>
    </w:p>
    <w:p>
      <w:pPr>
        <w:spacing w:line="360" w:lineRule="auto"/>
        <w:rPr>
          <w:rFonts w:hint="eastAsia" w:ascii="宋体" w:hAnsi="宋体" w:eastAsia="宋体" w:cs="宋体"/>
          <w:sz w:val="21"/>
          <w:szCs w:val="21"/>
          <w:highlight w:val="none"/>
        </w:rPr>
      </w:pPr>
      <w:r>
        <w:rPr>
          <w:rFonts w:hint="eastAsia" w:ascii="宋体" w:hAnsi="宋体" w:eastAsia="宋体" w:cs="宋体"/>
          <w:sz w:val="24"/>
          <w:szCs w:val="24"/>
          <w:highlight w:val="none"/>
        </w:rPr>
        <w:t>（</w:t>
      </w:r>
      <w:r>
        <w:rPr>
          <w:rFonts w:hint="eastAsia" w:ascii="宋体" w:hAnsi="宋体" w:eastAsia="宋体" w:cs="宋体"/>
          <w:sz w:val="21"/>
          <w:szCs w:val="21"/>
          <w:highlight w:val="none"/>
        </w:rPr>
        <w:t>二）资格证明及其他文件包括:</w:t>
      </w:r>
    </w:p>
    <w:p>
      <w:pPr>
        <w:widowControl/>
        <w:snapToGrid w:val="0"/>
        <w:spacing w:line="36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★1、营业执照副本</w:t>
      </w:r>
      <w:r>
        <w:rPr>
          <w:rFonts w:hint="eastAsia" w:ascii="宋体" w:hAnsi="宋体" w:eastAsia="宋体" w:cs="宋体"/>
          <w:kern w:val="0"/>
          <w:sz w:val="21"/>
          <w:szCs w:val="21"/>
          <w:highlight w:val="none"/>
          <w:lang w:eastAsia="zh-CN"/>
        </w:rPr>
        <w:t>；</w:t>
      </w:r>
    </w:p>
    <w:p>
      <w:pPr>
        <w:widowControl/>
        <w:snapToGrid w:val="0"/>
        <w:spacing w:line="360" w:lineRule="auto"/>
        <w:ind w:firstLine="424"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lang w:eastAsia="zh-CN"/>
        </w:rPr>
        <w:t>银行基本账户开户许可证明</w:t>
      </w:r>
      <w:r>
        <w:rPr>
          <w:rFonts w:hint="eastAsia" w:ascii="宋体" w:hAnsi="宋体" w:eastAsia="宋体" w:cs="宋体"/>
          <w:kern w:val="0"/>
          <w:sz w:val="21"/>
          <w:szCs w:val="21"/>
          <w:highlight w:val="none"/>
        </w:rPr>
        <w:t>；</w:t>
      </w:r>
    </w:p>
    <w:p>
      <w:pPr>
        <w:widowControl/>
        <w:snapToGrid w:val="0"/>
        <w:spacing w:line="360" w:lineRule="auto"/>
        <w:ind w:firstLine="424" w:firstLineChars="200"/>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、法定代表人授权书(法定代表人签字并加盖公章)</w:t>
      </w:r>
      <w:r>
        <w:rPr>
          <w:rFonts w:hint="eastAsia" w:ascii="宋体" w:hAnsi="宋体" w:eastAsia="宋体" w:cs="宋体"/>
          <w:kern w:val="0"/>
          <w:sz w:val="21"/>
          <w:szCs w:val="21"/>
          <w:highlight w:val="none"/>
          <w:lang w:eastAsia="zh-CN"/>
        </w:rPr>
        <w:t>；</w:t>
      </w:r>
    </w:p>
    <w:p>
      <w:pPr>
        <w:widowControl/>
        <w:snapToGrid w:val="0"/>
        <w:spacing w:line="360" w:lineRule="auto"/>
        <w:ind w:firstLine="424"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、法定代表人或全权代表身份证明（身份证正反面）；</w:t>
      </w:r>
    </w:p>
    <w:p>
      <w:pPr>
        <w:widowControl/>
        <w:snapToGrid w:val="0"/>
        <w:spacing w:line="360" w:lineRule="auto"/>
        <w:ind w:firstLine="424" w:firstLineChars="200"/>
        <w:jc w:val="left"/>
        <w:rPr>
          <w:rFonts w:hint="eastAsia" w:ascii="宋体" w:hAnsi="宋体" w:cs="宋体"/>
          <w:szCs w:val="21"/>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、供应商参加政府采购活动近三年内没有重大违法记录，对列入失信被执行人、重大税收违法案件当事人名单、以及政府采购严重违法失信行为记录名单中被</w:t>
      </w:r>
      <w:r>
        <w:rPr>
          <w:rFonts w:hint="eastAsia" w:ascii="宋体" w:hAnsi="宋体" w:cs="宋体"/>
          <w:szCs w:val="21"/>
        </w:rPr>
        <w:t>禁止参加1至3年政府采购活动的供应商（处罚期限尚未届满的），不得参与政府采购活动。供应商信用记录核查路径：</w:t>
      </w:r>
    </w:p>
    <w:p>
      <w:pPr>
        <w:pStyle w:val="15"/>
        <w:tabs>
          <w:tab w:val="right" w:leader="dot" w:pos="8779"/>
        </w:tabs>
        <w:spacing w:line="360" w:lineRule="auto"/>
        <w:ind w:firstLine="424" w:firstLineChars="200"/>
        <w:rPr>
          <w:rFonts w:hint="eastAsia" w:ascii="宋体" w:hAnsi="宋体" w:cs="宋体"/>
          <w:szCs w:val="21"/>
        </w:rPr>
      </w:pPr>
      <w:r>
        <w:rPr>
          <w:rFonts w:hint="eastAsia" w:ascii="宋体" w:hAnsi="宋体" w:cs="宋体"/>
          <w:szCs w:val="21"/>
        </w:rPr>
        <w:t>1）“信用中国”网站（www.creditchina.gov.cn）；</w:t>
      </w:r>
    </w:p>
    <w:p>
      <w:pPr>
        <w:pStyle w:val="15"/>
        <w:tabs>
          <w:tab w:val="right" w:leader="dot" w:pos="8779"/>
        </w:tabs>
        <w:spacing w:line="360" w:lineRule="auto"/>
        <w:ind w:firstLine="424" w:firstLineChars="200"/>
        <w:rPr>
          <w:rFonts w:hint="eastAsia" w:ascii="宋体" w:hAnsi="宋体" w:cs="宋体"/>
          <w:szCs w:val="21"/>
          <w:lang w:val="zh-TW"/>
        </w:rPr>
      </w:pPr>
      <w:r>
        <w:rPr>
          <w:rFonts w:hint="eastAsia" w:ascii="宋体" w:hAnsi="宋体" w:cs="宋体"/>
          <w:szCs w:val="21"/>
        </w:rPr>
        <w:t>2）</w:t>
      </w:r>
      <w:r>
        <w:rPr>
          <w:rFonts w:ascii="宋体" w:hAnsi="宋体" w:cs="宋体"/>
          <w:szCs w:val="21"/>
        </w:rPr>
        <w:t>“</w:t>
      </w:r>
      <w:r>
        <w:rPr>
          <w:rFonts w:hint="eastAsia" w:ascii="宋体" w:hAnsi="宋体" w:cs="宋体"/>
          <w:szCs w:val="21"/>
          <w:lang w:val="zh-TW" w:eastAsia="zh-TW"/>
        </w:rPr>
        <w:t>中国政府采购网”（www.ccgp.gov.cn/cr/list）</w:t>
      </w:r>
      <w:r>
        <w:rPr>
          <w:rFonts w:hint="eastAsia" w:ascii="宋体" w:hAnsi="宋体" w:cs="宋体"/>
          <w:szCs w:val="21"/>
          <w:lang w:val="zh-TW"/>
        </w:rPr>
        <w:t>；</w:t>
      </w:r>
    </w:p>
    <w:p>
      <w:pPr>
        <w:pStyle w:val="2"/>
        <w:ind w:firstLine="424" w:firstLineChars="200"/>
        <w:rPr>
          <w:rFonts w:hint="eastAsia"/>
          <w:lang w:val="zh-TW"/>
        </w:rPr>
      </w:pPr>
      <w:r>
        <w:rPr>
          <w:rFonts w:hint="eastAsia"/>
          <w:lang w:val="zh-TW"/>
        </w:rPr>
        <w:t>3）“国家企业信用信息公示系统”（http://www.gsxt.gov.cn/index.html）；</w:t>
      </w:r>
    </w:p>
    <w:p>
      <w:pPr>
        <w:pStyle w:val="2"/>
        <w:ind w:firstLine="424" w:firstLineChars="200"/>
        <w:rPr>
          <w:rFonts w:hint="eastAsia" w:ascii="宋体" w:hAnsi="宋体" w:eastAsia="宋体" w:cs="宋体"/>
          <w:kern w:val="0"/>
          <w:sz w:val="21"/>
          <w:szCs w:val="21"/>
          <w:highlight w:val="none"/>
        </w:rPr>
      </w:pPr>
      <w:r>
        <w:rPr>
          <w:rFonts w:hint="eastAsia" w:ascii="宋体" w:hAnsi="宋体" w:cs="宋体"/>
          <w:szCs w:val="21"/>
        </w:rPr>
        <w:t>★</w:t>
      </w:r>
      <w:r>
        <w:rPr>
          <w:rFonts w:hint="eastAsia"/>
          <w:lang w:val="zh-TW"/>
        </w:rPr>
        <w:t>注：供应商在响应文中提供</w:t>
      </w:r>
      <w:r>
        <w:rPr>
          <w:rFonts w:hint="eastAsia"/>
          <w:lang w:val="zh-TW" w:eastAsia="zh-CN"/>
        </w:rPr>
        <w:t>“</w:t>
      </w:r>
      <w:r>
        <w:rPr>
          <w:rFonts w:hint="eastAsia"/>
          <w:lang w:val="zh-TW"/>
        </w:rPr>
        <w:t>没有重大违法记录的声明</w:t>
      </w:r>
      <w:r>
        <w:rPr>
          <w:rFonts w:hint="eastAsia"/>
          <w:lang w:val="zh-TW" w:eastAsia="zh-CN"/>
        </w:rPr>
        <w:t>”。</w:t>
      </w:r>
    </w:p>
    <w:p>
      <w:pPr>
        <w:tabs>
          <w:tab w:val="left" w:pos="1080"/>
        </w:tabs>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rPr>
        <w:t>小微企业声明函（响应供应商为小微企业且所投产品为小微企业生产，提供声明函的享受政府采购优惠）。</w:t>
      </w:r>
    </w:p>
    <w:p>
      <w:pPr>
        <w:widowControl/>
        <w:snapToGrid w:val="0"/>
        <w:spacing w:line="360" w:lineRule="auto"/>
        <w:ind w:firstLine="424"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w:t>
      </w:r>
    </w:p>
    <w:p>
      <w:pPr>
        <w:widowControl/>
        <w:snapToGrid w:val="0"/>
        <w:spacing w:line="360" w:lineRule="auto"/>
        <w:ind w:firstLine="424"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(1)上述条件之一不满足者，将被视为其资格审查不合格，不得进入下一步的评审程序。</w:t>
      </w:r>
    </w:p>
    <w:p>
      <w:pPr>
        <w:widowControl/>
        <w:snapToGrid w:val="0"/>
        <w:spacing w:line="360" w:lineRule="auto"/>
        <w:ind w:firstLine="424"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(2)为保持评审工作的连续性，磋商小组对审查结果不作结论外任何解释和澄清。</w:t>
      </w:r>
    </w:p>
    <w:p>
      <w:pPr>
        <w:widowControl/>
        <w:snapToGrid w:val="0"/>
        <w:spacing w:line="360" w:lineRule="auto"/>
        <w:ind w:firstLine="424"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(3)供应商所报材料应真实有效并附相关佐证材料，在磋商时响应文件中装订原件、扫描件或复印件（加盖单位公章），否则其响应文件将被否决。</w:t>
      </w:r>
    </w:p>
    <w:p>
      <w:pPr>
        <w:widowControl/>
        <w:snapToGrid w:val="0"/>
        <w:spacing w:line="360" w:lineRule="auto"/>
        <w:ind w:firstLine="48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(4)供应商必须携带以上“资格证明及其他文件”中与响应文件书面材料一致的全部原件复印件</w:t>
      </w:r>
      <w:r>
        <w:rPr>
          <w:rFonts w:hint="eastAsia" w:ascii="宋体" w:hAnsi="宋体" w:eastAsia="宋体" w:cs="宋体"/>
          <w:color w:val="auto"/>
          <w:kern w:val="0"/>
          <w:sz w:val="21"/>
          <w:szCs w:val="21"/>
          <w:highlight w:val="none"/>
        </w:rPr>
        <w:t>（复印件加盖公章、原件备查）。</w:t>
      </w:r>
    </w:p>
    <w:p>
      <w:pPr>
        <w:widowControl/>
        <w:snapToGrid w:val="0"/>
        <w:spacing w:line="360" w:lineRule="auto"/>
        <w:ind w:firstLine="424"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（5）若为小微企业，除承诺外还需对应提供事实依据、法律依据，未提供具体依据或所提供依据专家无法判定真实性的供应商，其小微企业承诺以无效处理。</w:t>
      </w:r>
    </w:p>
    <w:p>
      <w:pPr>
        <w:widowControl/>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十一、响应文件附件的编制及编目</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1、报价书附件由供应商自行编制，规格幅面应与正文一致，附于正文之后，与正文页码统一编目编码并将响应文件进行胶装。</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2、报价书附件必须包含以下内容：</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（1）产品主要技术参数明细表及报价表；</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（2）技术服务和售后服务的内容及措施。</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3、报价书附件可以包含以下内容：</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(1)产品详细说明书（包括产品主要技术数据和性能的详细描述或提供产品样本）；</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(2)产品制造、验收标准；</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(3)详细的交货清单；</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(4)特殊工具及备件清单；</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(5)供应商推荐的供选择的配套货物表；</w:t>
      </w:r>
    </w:p>
    <w:p>
      <w:pPr>
        <w:spacing w:line="360" w:lineRule="auto"/>
        <w:ind w:firstLine="445"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(6)提供报价所有辅助性材（资）料。</w:t>
      </w:r>
    </w:p>
    <w:p>
      <w:pPr>
        <w:widowControl/>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十二、报价</w:t>
      </w:r>
    </w:p>
    <w:p>
      <w:pPr>
        <w:snapToGrid w:val="0"/>
        <w:spacing w:line="360" w:lineRule="auto"/>
        <w:ind w:firstLine="461" w:firstLineChars="218"/>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1、所有价格均以人民币报价</w:t>
      </w:r>
      <w:r>
        <w:rPr>
          <w:rFonts w:hint="eastAsia" w:ascii="宋体" w:hAnsi="宋体" w:eastAsia="宋体" w:cs="宋体"/>
          <w:sz w:val="21"/>
          <w:szCs w:val="21"/>
          <w:highlight w:val="none"/>
          <w:lang w:val="en-US" w:eastAsia="zh-CN"/>
        </w:rPr>
        <w:t>。</w:t>
      </w:r>
    </w:p>
    <w:p>
      <w:pPr>
        <w:snapToGrid w:val="0"/>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2、磋商报价分两次(特殊情况除外)，即初始报价（供应商递交的响应文件中的报价）及磋商结束后的最后报价（该报价将做为最后的成交价格）。</w:t>
      </w:r>
    </w:p>
    <w:p>
      <w:pPr>
        <w:snapToGrid w:val="0"/>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3、具备初始报价,方有资格做第二次报价。</w:t>
      </w:r>
    </w:p>
    <w:p>
      <w:pPr>
        <w:snapToGrid w:val="0"/>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4、最低报价不能作为成交的唯一保证。</w:t>
      </w:r>
    </w:p>
    <w:p>
      <w:pPr>
        <w:snapToGrid w:val="0"/>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5、如供应商未按规定要求和时间递交最后报价，该供应商提交的磋商响应文件中的初始报价将作为其最后报价。</w:t>
      </w:r>
    </w:p>
    <w:p>
      <w:pPr>
        <w:snapToGrid w:val="0"/>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6、超出预算金额的最后报价无效。</w:t>
      </w:r>
    </w:p>
    <w:p>
      <w:pPr>
        <w:widowControl/>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十三、响应文件的签署及规定</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（一）组成响应文件的各项资料均遵守本条规定；</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（二）响应文件应按规范格式编制、填写，并按要求签字、加盖公章；</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（三）响应文件应装订成册，统一编制页码且页码连续；</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（四）响应文件的正本必须用不退色的墨水填写或打印，注明“正本”字样。副本可以用复印件；（正本壹份、副本肆份）</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（五）响应文件不得涂改和增删，如有修改错漏处，必须同一签署人签字并加盖公章；</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（六）响应文件因字迹潦草或表达不清所引起的后果由供应商自行负责；</w:t>
      </w:r>
    </w:p>
    <w:p>
      <w:pPr>
        <w:spacing w:line="360" w:lineRule="auto"/>
        <w:ind w:firstLine="461" w:firstLineChars="218"/>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（七）法人代表授权书应由法定代表人签字并加盖公章</w:t>
      </w:r>
      <w:r>
        <w:rPr>
          <w:rFonts w:hint="eastAsia" w:ascii="宋体" w:hAnsi="宋体" w:eastAsia="宋体" w:cs="宋体"/>
          <w:sz w:val="21"/>
          <w:szCs w:val="21"/>
          <w:highlight w:val="none"/>
          <w:lang w:eastAsia="zh-CN"/>
        </w:rPr>
        <w:t>；</w:t>
      </w:r>
    </w:p>
    <w:p>
      <w:pPr>
        <w:spacing w:line="400" w:lineRule="exact"/>
        <w:ind w:firstLine="461" w:firstLineChars="218"/>
        <w:rPr>
          <w:rFonts w:hint="eastAsia" w:ascii="宋体" w:hAnsi="宋体"/>
          <w:color w:val="auto"/>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八</w:t>
      </w:r>
      <w:r>
        <w:rPr>
          <w:rFonts w:hint="eastAsia" w:ascii="宋体" w:hAnsi="宋体" w:eastAsia="宋体" w:cs="宋体"/>
          <w:sz w:val="21"/>
          <w:szCs w:val="21"/>
          <w:highlight w:val="none"/>
        </w:rPr>
        <w:t>）</w:t>
      </w:r>
      <w:r>
        <w:rPr>
          <w:rFonts w:hint="eastAsia" w:ascii="宋体" w:hAnsi="宋体"/>
          <w:color w:val="auto"/>
          <w:szCs w:val="21"/>
          <w:highlight w:val="none"/>
        </w:rPr>
        <w:t>供应商应将全部</w:t>
      </w:r>
      <w:r>
        <w:rPr>
          <w:rFonts w:hint="eastAsia" w:ascii="宋体" w:hAnsi="宋体"/>
          <w:color w:val="auto"/>
          <w:szCs w:val="21"/>
          <w:highlight w:val="none"/>
          <w:lang w:val="en-US" w:eastAsia="zh-CN"/>
        </w:rPr>
        <w:t>磋商</w:t>
      </w:r>
      <w:r>
        <w:rPr>
          <w:rFonts w:hint="eastAsia" w:ascii="宋体" w:hAnsi="宋体"/>
          <w:color w:val="auto"/>
          <w:szCs w:val="21"/>
          <w:highlight w:val="none"/>
        </w:rPr>
        <w:t>文件密封在一个密封袋中，密封袋封口处加盖单位公章或密封章，并在包封上标明如下标记：</w:t>
      </w:r>
    </w:p>
    <w:p>
      <w:pPr>
        <w:spacing w:line="400" w:lineRule="exact"/>
        <w:ind w:firstLine="461" w:firstLineChars="218"/>
        <w:rPr>
          <w:rFonts w:hint="eastAsia" w:ascii="宋体" w:hAnsi="宋体"/>
          <w:color w:val="auto"/>
          <w:szCs w:val="21"/>
          <w:highlight w:val="none"/>
        </w:rPr>
      </w:pPr>
      <w:r>
        <w:rPr>
          <w:rFonts w:hint="eastAsia" w:ascii="宋体" w:hAnsi="宋体"/>
          <w:color w:val="auto"/>
          <w:szCs w:val="21"/>
          <w:highlight w:val="none"/>
        </w:rPr>
        <w:t>（1）供应商名称；</w:t>
      </w:r>
    </w:p>
    <w:p>
      <w:pPr>
        <w:spacing w:line="400" w:lineRule="exact"/>
        <w:ind w:firstLine="461" w:firstLineChars="218"/>
        <w:rPr>
          <w:rFonts w:hint="eastAsia" w:ascii="宋体" w:hAnsi="宋体"/>
          <w:color w:val="auto"/>
          <w:szCs w:val="21"/>
          <w:highlight w:val="none"/>
        </w:rPr>
      </w:pPr>
      <w:r>
        <w:rPr>
          <w:rFonts w:hint="eastAsia" w:ascii="宋体" w:hAnsi="宋体"/>
          <w:color w:val="auto"/>
          <w:szCs w:val="21"/>
          <w:highlight w:val="none"/>
        </w:rPr>
        <w:t>（2）项目名称；</w:t>
      </w:r>
    </w:p>
    <w:p>
      <w:pPr>
        <w:spacing w:line="400" w:lineRule="exact"/>
        <w:ind w:firstLine="461" w:firstLineChars="218"/>
        <w:rPr>
          <w:rFonts w:hint="eastAsia" w:ascii="宋体" w:hAnsi="宋体"/>
          <w:color w:val="auto"/>
          <w:szCs w:val="21"/>
          <w:highlight w:val="none"/>
        </w:rPr>
      </w:pPr>
      <w:r>
        <w:rPr>
          <w:rFonts w:hint="eastAsia" w:ascii="宋体" w:hAnsi="宋体"/>
          <w:color w:val="auto"/>
          <w:szCs w:val="21"/>
          <w:highlight w:val="none"/>
        </w:rPr>
        <w:t>（3）采购编号；</w:t>
      </w:r>
    </w:p>
    <w:p>
      <w:pPr>
        <w:spacing w:line="400" w:lineRule="exact"/>
        <w:ind w:firstLine="461" w:firstLineChars="218"/>
        <w:rPr>
          <w:rFonts w:hint="eastAsia" w:ascii="宋体" w:hAnsi="宋体" w:eastAsiaTheme="minorEastAsia"/>
          <w:color w:val="auto"/>
          <w:szCs w:val="21"/>
          <w:highlight w:val="none"/>
          <w:lang w:eastAsia="zh-CN"/>
        </w:rPr>
      </w:pPr>
      <w:r>
        <w:rPr>
          <w:rFonts w:hint="eastAsia" w:ascii="宋体" w:hAnsi="宋体"/>
          <w:color w:val="auto"/>
          <w:szCs w:val="21"/>
          <w:highlight w:val="none"/>
        </w:rPr>
        <w:t>（4）</w:t>
      </w:r>
      <w:r>
        <w:rPr>
          <w:rFonts w:hint="eastAsia" w:ascii="宋体" w:hAnsi="宋体"/>
          <w:color w:val="auto"/>
          <w:szCs w:val="21"/>
          <w:highlight w:val="none"/>
          <w:lang w:val="en-US" w:eastAsia="zh-CN"/>
        </w:rPr>
        <w:t>磋商</w:t>
      </w:r>
      <w:r>
        <w:rPr>
          <w:rFonts w:hint="eastAsia" w:ascii="宋体" w:hAnsi="宋体"/>
          <w:color w:val="auto"/>
          <w:szCs w:val="21"/>
          <w:highlight w:val="none"/>
        </w:rPr>
        <w:t>时启封</w:t>
      </w:r>
      <w:r>
        <w:rPr>
          <w:rFonts w:hint="eastAsia" w:ascii="宋体" w:hAnsi="宋体"/>
          <w:color w:val="auto"/>
          <w:szCs w:val="21"/>
          <w:highlight w:val="none"/>
          <w:lang w:eastAsia="zh-CN"/>
        </w:rPr>
        <w:t>；</w:t>
      </w:r>
    </w:p>
    <w:p>
      <w:pPr>
        <w:spacing w:line="400" w:lineRule="exact"/>
        <w:ind w:firstLine="424" w:firstLineChars="200"/>
        <w:rPr>
          <w:rFonts w:hint="eastAsia" w:ascii="宋体" w:hAnsi="宋体" w:eastAsiaTheme="minorEastAsia"/>
          <w:color w:val="auto"/>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九</w:t>
      </w:r>
      <w:r>
        <w:rPr>
          <w:rFonts w:hint="eastAsia" w:ascii="宋体" w:hAnsi="宋体" w:eastAsia="宋体" w:cs="宋体"/>
          <w:sz w:val="21"/>
          <w:szCs w:val="21"/>
          <w:highlight w:val="none"/>
        </w:rPr>
        <w:t>）</w:t>
      </w:r>
      <w:r>
        <w:rPr>
          <w:rFonts w:hint="eastAsia" w:ascii="宋体" w:hAnsi="宋体"/>
          <w:color w:val="auto"/>
          <w:szCs w:val="21"/>
          <w:highlight w:val="none"/>
        </w:rPr>
        <w:t>因密封不合格而导致的</w:t>
      </w:r>
      <w:r>
        <w:rPr>
          <w:rFonts w:hint="eastAsia" w:ascii="宋体" w:hAnsi="宋体"/>
          <w:color w:val="auto"/>
          <w:szCs w:val="21"/>
          <w:highlight w:val="none"/>
          <w:lang w:val="en-US" w:eastAsia="zh-CN"/>
        </w:rPr>
        <w:t>磋商</w:t>
      </w:r>
      <w:r>
        <w:rPr>
          <w:rFonts w:hint="eastAsia" w:ascii="宋体" w:hAnsi="宋体"/>
          <w:color w:val="auto"/>
          <w:szCs w:val="21"/>
          <w:highlight w:val="none"/>
        </w:rPr>
        <w:t>文件的遗失或提前启封后果由供应商负责</w:t>
      </w:r>
      <w:r>
        <w:rPr>
          <w:rFonts w:hint="eastAsia" w:ascii="宋体" w:hAnsi="宋体"/>
          <w:color w:val="auto"/>
          <w:szCs w:val="21"/>
          <w:highlight w:val="none"/>
          <w:lang w:eastAsia="zh-CN"/>
        </w:rPr>
        <w:t>；</w:t>
      </w:r>
    </w:p>
    <w:p>
      <w:pPr>
        <w:spacing w:line="400" w:lineRule="exact"/>
        <w:rPr>
          <w:rFonts w:hint="eastAsia" w:ascii="宋体" w:hAnsi="宋体" w:eastAsiaTheme="minorEastAsia"/>
          <w:color w:val="auto"/>
          <w:szCs w:val="21"/>
          <w:highlight w:val="none"/>
          <w:lang w:eastAsia="zh-CN"/>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十</w:t>
      </w:r>
      <w:r>
        <w:rPr>
          <w:rFonts w:hint="eastAsia" w:ascii="宋体" w:hAnsi="宋体" w:eastAsia="宋体" w:cs="宋体"/>
          <w:sz w:val="21"/>
          <w:szCs w:val="21"/>
          <w:highlight w:val="none"/>
        </w:rPr>
        <w:t>）</w:t>
      </w:r>
      <w:r>
        <w:rPr>
          <w:rFonts w:hint="eastAsia" w:ascii="宋体" w:hAnsi="宋体" w:eastAsia="宋体"/>
          <w:b/>
          <w:color w:val="auto"/>
          <w:szCs w:val="21"/>
          <w:highlight w:val="none"/>
          <w:lang w:val="en-US" w:eastAsia="zh-CN"/>
        </w:rPr>
        <w:t>磋商</w:t>
      </w:r>
      <w:r>
        <w:rPr>
          <w:rFonts w:hint="eastAsia" w:ascii="宋体" w:hAnsi="宋体"/>
          <w:b/>
          <w:color w:val="auto"/>
          <w:szCs w:val="21"/>
          <w:highlight w:val="none"/>
        </w:rPr>
        <w:t>文件必须胶装，严禁用活页装订，否则其</w:t>
      </w:r>
      <w:r>
        <w:rPr>
          <w:rFonts w:hint="eastAsia" w:ascii="宋体" w:hAnsi="宋体"/>
          <w:b/>
          <w:color w:val="auto"/>
          <w:szCs w:val="21"/>
          <w:highlight w:val="none"/>
          <w:lang w:val="en-US" w:eastAsia="zh-CN"/>
        </w:rPr>
        <w:t>磋商</w:t>
      </w:r>
      <w:r>
        <w:rPr>
          <w:rFonts w:hint="eastAsia" w:ascii="宋体" w:hAnsi="宋体"/>
          <w:b/>
          <w:color w:val="auto"/>
          <w:szCs w:val="21"/>
          <w:highlight w:val="none"/>
        </w:rPr>
        <w:t>文件将被拒绝</w:t>
      </w:r>
      <w:r>
        <w:rPr>
          <w:rFonts w:hint="eastAsia" w:ascii="宋体" w:hAnsi="宋体"/>
          <w:b/>
          <w:color w:val="auto"/>
          <w:szCs w:val="21"/>
          <w:highlight w:val="none"/>
          <w:lang w:eastAsia="zh-CN"/>
        </w:rPr>
        <w:t>；</w:t>
      </w:r>
    </w:p>
    <w:p>
      <w:pPr>
        <w:pStyle w:val="2"/>
        <w:ind w:left="0" w:leftChars="0" w:firstLine="0" w:firstLineChars="0"/>
        <w:rPr>
          <w:rFonts w:hint="eastAsia"/>
        </w:rPr>
      </w:pPr>
    </w:p>
    <w:p>
      <w:pPr>
        <w:snapToGrid w:val="0"/>
        <w:spacing w:line="360" w:lineRule="auto"/>
        <w:rPr>
          <w:rFonts w:hint="eastAsia" w:ascii="宋体" w:hAnsi="宋体" w:eastAsia="宋体" w:cs="宋体"/>
          <w:b/>
          <w:bCs/>
          <w:color w:val="000000"/>
          <w:sz w:val="24"/>
          <w:szCs w:val="24"/>
          <w:highlight w:val="none"/>
          <w:lang w:val="zh-CN"/>
        </w:rPr>
      </w:pPr>
      <w:r>
        <w:rPr>
          <w:rFonts w:hint="eastAsia" w:ascii="宋体" w:hAnsi="宋体" w:eastAsia="宋体" w:cs="宋体"/>
          <w:b/>
          <w:bCs/>
          <w:sz w:val="24"/>
          <w:szCs w:val="24"/>
          <w:highlight w:val="none"/>
        </w:rPr>
        <w:t>十四、</w:t>
      </w:r>
      <w:r>
        <w:rPr>
          <w:rFonts w:hint="eastAsia" w:ascii="宋体" w:hAnsi="宋体" w:eastAsia="宋体" w:cs="宋体"/>
          <w:b/>
          <w:bCs/>
          <w:color w:val="000000"/>
          <w:sz w:val="24"/>
          <w:szCs w:val="24"/>
          <w:highlight w:val="none"/>
          <w:lang w:val="zh-CN"/>
        </w:rPr>
        <w:t>技术参数条款出现下列情况之一条款的，响应文件无效：</w:t>
      </w:r>
    </w:p>
    <w:p>
      <w:pPr>
        <w:autoSpaceDE w:val="0"/>
        <w:autoSpaceDN w:val="0"/>
        <w:adjustRightInd w:val="0"/>
        <w:spacing w:line="360" w:lineRule="auto"/>
        <w:ind w:firstLine="530" w:firstLineChars="250"/>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1、供应商提报的技术参数中须明确品牌、型号、规格、配置等，否则响应文件将被否决；</w:t>
      </w:r>
    </w:p>
    <w:p>
      <w:pPr>
        <w:autoSpaceDE w:val="0"/>
        <w:autoSpaceDN w:val="0"/>
        <w:adjustRightInd w:val="0"/>
        <w:spacing w:line="360" w:lineRule="auto"/>
        <w:ind w:firstLine="530" w:firstLineChars="250"/>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2、经磋商小组认定供应商未按实际技术参数作应答，而是完全复制竞争性磋商文件技术要求相关内容作为其技术参数一部分的，响应文件无效；</w:t>
      </w:r>
    </w:p>
    <w:p>
      <w:pPr>
        <w:autoSpaceDE w:val="0"/>
        <w:autoSpaceDN w:val="0"/>
        <w:adjustRightInd w:val="0"/>
        <w:spacing w:line="360" w:lineRule="auto"/>
        <w:ind w:firstLine="530" w:firstLineChars="250"/>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3、供应商所提报的技术参数应如实填写，并按“竞争性磋商文件技术要求”逐项应答，如简单填写“响应或完全响应”的，响应文件无效。</w:t>
      </w:r>
    </w:p>
    <w:p>
      <w:pPr>
        <w:autoSpaceDE w:val="0"/>
        <w:autoSpaceDN w:val="0"/>
        <w:adjustRightInd w:val="0"/>
        <w:spacing w:line="360" w:lineRule="auto"/>
        <w:ind w:firstLine="530" w:firstLineChars="250"/>
        <w:rPr>
          <w:rFonts w:hint="eastAsia" w:ascii="宋体" w:hAnsi="宋体" w:eastAsia="宋体" w:cs="宋体"/>
          <w:bCs/>
          <w:sz w:val="21"/>
          <w:szCs w:val="21"/>
          <w:highlight w:val="none"/>
          <w:lang w:val="zh-CN"/>
        </w:rPr>
      </w:pPr>
      <w:r>
        <w:rPr>
          <w:rFonts w:hint="default" w:ascii="宋体" w:hAnsi="宋体" w:eastAsia="宋体" w:cs="宋体"/>
          <w:bCs/>
          <w:kern w:val="0"/>
          <w:sz w:val="21"/>
          <w:szCs w:val="21"/>
          <w:highlight w:val="none"/>
          <w:lang w:val="en-US"/>
        </w:rPr>
        <w:t>4</w:t>
      </w:r>
      <w:r>
        <w:rPr>
          <w:rFonts w:hint="eastAsia" w:ascii="宋体" w:hAnsi="宋体" w:eastAsia="宋体" w:cs="宋体"/>
          <w:bCs/>
          <w:kern w:val="0"/>
          <w:sz w:val="21"/>
          <w:szCs w:val="21"/>
          <w:highlight w:val="none"/>
        </w:rPr>
        <w:t>、</w:t>
      </w:r>
      <w:r>
        <w:rPr>
          <w:rFonts w:hint="eastAsia" w:ascii="宋体" w:hAnsi="宋体" w:eastAsia="宋体" w:cs="宋体"/>
          <w:bCs/>
          <w:sz w:val="21"/>
          <w:szCs w:val="21"/>
          <w:highlight w:val="none"/>
        </w:rPr>
        <w:t>经磋商小组认定供应商未按实际技术参数作应答，而是完全复制竞争性磋商文件技术要求相关内容作为其技术参数一部分的，响应文件无效。</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bCs/>
          <w:sz w:val="24"/>
          <w:szCs w:val="24"/>
          <w:highlight w:val="none"/>
          <w:lang w:val="zh-CN"/>
        </w:rPr>
        <w:t>十五、</w:t>
      </w:r>
      <w:r>
        <w:rPr>
          <w:rFonts w:hint="eastAsia" w:ascii="宋体" w:hAnsi="宋体" w:eastAsia="宋体" w:cs="宋体"/>
          <w:b/>
          <w:spacing w:val="-2"/>
          <w:sz w:val="24"/>
          <w:szCs w:val="24"/>
          <w:highlight w:val="none"/>
        </w:rPr>
        <w:t>供应商出现下列情况之一的响应文件无效</w:t>
      </w:r>
      <w:r>
        <w:rPr>
          <w:rFonts w:hint="eastAsia" w:ascii="宋体" w:hAnsi="宋体" w:eastAsia="宋体" w:cs="宋体"/>
          <w:b/>
          <w:sz w:val="24"/>
          <w:szCs w:val="24"/>
          <w:highlight w:val="none"/>
        </w:rPr>
        <w:t>：</w:t>
      </w:r>
    </w:p>
    <w:p>
      <w:pPr>
        <w:pStyle w:val="31"/>
        <w:spacing w:line="360" w:lineRule="auto"/>
        <w:ind w:firstLine="476" w:firstLineChars="22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cs="宋体"/>
          <w:sz w:val="21"/>
          <w:szCs w:val="21"/>
        </w:rPr>
        <w:t>标注★的</w:t>
      </w:r>
      <w:r>
        <w:rPr>
          <w:rFonts w:hint="eastAsia" w:ascii="宋体" w:hAnsi="宋体" w:cs="宋体"/>
          <w:sz w:val="21"/>
          <w:szCs w:val="21"/>
          <w:lang w:eastAsia="zh-CN"/>
        </w:rPr>
        <w:t>条款</w:t>
      </w:r>
      <w:r>
        <w:rPr>
          <w:rFonts w:hint="eastAsia" w:ascii="宋体" w:hAnsi="宋体" w:cs="宋体"/>
          <w:sz w:val="21"/>
          <w:szCs w:val="21"/>
        </w:rPr>
        <w:t>如偏离，则响应文件无效；</w:t>
      </w:r>
      <w:r>
        <w:rPr>
          <w:rFonts w:hint="eastAsia" w:ascii="宋体" w:hAnsi="宋体" w:cs="宋体"/>
          <w:bCs/>
          <w:color w:val="000000"/>
          <w:sz w:val="21"/>
          <w:szCs w:val="21"/>
          <w:lang w:val="zh-CN"/>
        </w:rPr>
        <w:t>非</w:t>
      </w:r>
      <w:r>
        <w:rPr>
          <w:rFonts w:hint="eastAsia" w:ascii="宋体" w:hAnsi="宋体" w:cs="宋体"/>
          <w:kern w:val="0"/>
          <w:sz w:val="21"/>
          <w:szCs w:val="21"/>
        </w:rPr>
        <w:t>★</w:t>
      </w:r>
      <w:r>
        <w:rPr>
          <w:rFonts w:hint="eastAsia" w:ascii="宋体" w:hAnsi="宋体" w:cs="宋体"/>
          <w:bCs/>
          <w:color w:val="000000"/>
          <w:sz w:val="21"/>
          <w:szCs w:val="21"/>
          <w:lang w:val="zh-CN"/>
        </w:rPr>
        <w:t>条款有重大偏离经评审专家认定无法满足竞争性磋商文件需求的</w:t>
      </w:r>
      <w:r>
        <w:rPr>
          <w:rFonts w:hint="eastAsia" w:ascii="宋体" w:hAnsi="宋体" w:eastAsia="宋体" w:cs="宋体"/>
          <w:sz w:val="21"/>
          <w:szCs w:val="21"/>
          <w:highlight w:val="none"/>
        </w:rPr>
        <w:t>；</w:t>
      </w:r>
    </w:p>
    <w:p>
      <w:pPr>
        <w:pStyle w:val="31"/>
        <w:spacing w:line="360" w:lineRule="auto"/>
        <w:ind w:firstLine="476" w:firstLineChars="225"/>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、超出经营范围的；</w:t>
      </w:r>
    </w:p>
    <w:p>
      <w:pPr>
        <w:pStyle w:val="31"/>
        <w:spacing w:line="360" w:lineRule="auto"/>
        <w:ind w:firstLine="476" w:firstLineChars="225"/>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、未按要求签字、盖章的；</w:t>
      </w:r>
    </w:p>
    <w:p>
      <w:pPr>
        <w:pStyle w:val="31"/>
        <w:spacing w:line="360" w:lineRule="auto"/>
        <w:ind w:firstLine="476" w:firstLineChars="225"/>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、提供虚假材料的；（提供虚假材料进行报价、应答的，还将移交监管部门依法处理）</w:t>
      </w:r>
    </w:p>
    <w:p>
      <w:pPr>
        <w:pStyle w:val="31"/>
        <w:spacing w:line="360" w:lineRule="auto"/>
        <w:ind w:firstLine="476" w:firstLineChars="225"/>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、技术参数与所提供的技术证明文件不一致的；</w:t>
      </w:r>
    </w:p>
    <w:p>
      <w:pPr>
        <w:pStyle w:val="31"/>
        <w:spacing w:line="360" w:lineRule="auto"/>
        <w:ind w:firstLine="476" w:firstLineChars="225"/>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、所报项目在实际运行中，其使用成本过高、使用条件苛刻(需经磋商小组确定)不能被采购人接受的；</w:t>
      </w:r>
    </w:p>
    <w:p>
      <w:pPr>
        <w:pStyle w:val="31"/>
        <w:spacing w:line="360" w:lineRule="auto"/>
        <w:ind w:firstLine="476" w:firstLineChars="225"/>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7</w:t>
      </w:r>
      <w:r>
        <w:rPr>
          <w:rFonts w:hint="eastAsia" w:ascii="宋体" w:hAnsi="宋体" w:eastAsia="宋体" w:cs="宋体"/>
          <w:bCs/>
          <w:sz w:val="21"/>
          <w:szCs w:val="21"/>
          <w:highlight w:val="none"/>
        </w:rPr>
        <w:t>、法定代表人授权书无法定代表人签字或没有加盖公章的；</w:t>
      </w:r>
    </w:p>
    <w:p>
      <w:pPr>
        <w:pStyle w:val="31"/>
        <w:spacing w:line="360" w:lineRule="auto"/>
        <w:ind w:firstLine="476" w:firstLineChars="225"/>
        <w:rPr>
          <w:rFonts w:hint="eastAsia" w:ascii="宋体" w:hAnsi="宋体" w:eastAsia="宋体" w:cs="宋体"/>
          <w:spacing w:val="-20"/>
          <w:sz w:val="21"/>
          <w:szCs w:val="21"/>
          <w:highlight w:val="none"/>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参加政府采购活动前三年内（即提交竞争性磋商首次响应文件截止时间前三年内）有重大违法失信记录的；</w:t>
      </w:r>
    </w:p>
    <w:p>
      <w:pPr>
        <w:pStyle w:val="31"/>
        <w:spacing w:line="360" w:lineRule="auto"/>
        <w:ind w:firstLine="476" w:firstLineChars="225"/>
        <w:rPr>
          <w:rFonts w:hint="eastAsia" w:ascii="宋体" w:hAnsi="宋体" w:eastAsia="宋体" w:cs="宋体"/>
          <w:spacing w:val="-20"/>
          <w:sz w:val="21"/>
          <w:szCs w:val="21"/>
          <w:highlight w:val="none"/>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eastAsia="宋体" w:cs="宋体"/>
          <w:spacing w:val="-2"/>
          <w:sz w:val="21"/>
          <w:szCs w:val="21"/>
          <w:highlight w:val="none"/>
        </w:rPr>
        <w:t>供应商</w:t>
      </w:r>
      <w:r>
        <w:rPr>
          <w:rFonts w:hint="eastAsia" w:ascii="宋体" w:hAnsi="宋体" w:eastAsia="宋体" w:cs="宋体"/>
          <w:sz w:val="21"/>
          <w:szCs w:val="21"/>
          <w:highlight w:val="none"/>
        </w:rPr>
        <w:t>对采购人、采购代理机构、磋商小组及其工作人员施加影响，有碍评审公平、公正的；</w:t>
      </w:r>
    </w:p>
    <w:p>
      <w:pPr>
        <w:pStyle w:val="31"/>
        <w:spacing w:line="360" w:lineRule="auto"/>
        <w:ind w:firstLine="476" w:firstLineChars="225"/>
        <w:rPr>
          <w:rFonts w:hint="eastAsia" w:ascii="宋体" w:hAnsi="宋体" w:eastAsia="宋体" w:cs="宋体"/>
          <w:sz w:val="21"/>
          <w:szCs w:val="21"/>
          <w:highlight w:val="none"/>
        </w:rPr>
      </w:pPr>
      <w:r>
        <w:rPr>
          <w:rFonts w:hint="eastAsia" w:ascii="宋体" w:hAnsi="宋体" w:cs="宋体"/>
          <w:bCs/>
          <w:color w:val="000000"/>
          <w:sz w:val="21"/>
          <w:szCs w:val="21"/>
          <w:highlight w:val="none"/>
          <w:lang w:val="en-US" w:eastAsia="zh-CN"/>
        </w:rPr>
        <w:t>10</w:t>
      </w:r>
      <w:r>
        <w:rPr>
          <w:rFonts w:hint="eastAsia" w:ascii="宋体" w:hAnsi="宋体" w:eastAsia="宋体" w:cs="宋体"/>
          <w:bCs/>
          <w:color w:val="000000"/>
          <w:sz w:val="21"/>
          <w:szCs w:val="21"/>
          <w:highlight w:val="none"/>
          <w:lang w:val="zh-CN"/>
        </w:rPr>
        <w:t>、</w:t>
      </w:r>
      <w:r>
        <w:rPr>
          <w:rFonts w:hint="eastAsia" w:ascii="宋体" w:hAnsi="宋体" w:eastAsia="宋体" w:cs="宋体"/>
          <w:sz w:val="21"/>
          <w:szCs w:val="21"/>
          <w:highlight w:val="none"/>
        </w:rPr>
        <w:t>磋商小组认为，排在前面的入围候选供应商的报价明显不合理或者低于成本，有可能影响商品质量和不能诚信履约的，应当要求该供应商作出书面说明并提供相关证明材料，否则，磋商小组可以取消该供应商的成交候选资格，按顺序由排在后面的成交候选供应商递补。</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、供应商提供的企业资质证书、从业人员资格证书、认证证书等信息必须与公开信息一致，在公开信息中查询不到或不一致的，供应商应在响应文件中提供发证机构出具的证明函，未提供证明函的响应文件无效。</w:t>
      </w:r>
    </w:p>
    <w:p>
      <w:pPr>
        <w:pStyle w:val="31"/>
        <w:spacing w:line="360" w:lineRule="auto"/>
        <w:ind w:firstLine="424"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rPr>
        <w:t>、按有关法律、法规、规章规定属于响应文件无效的。</w:t>
      </w:r>
    </w:p>
    <w:p>
      <w:pPr>
        <w:snapToGrid w:val="0"/>
        <w:spacing w:line="360" w:lineRule="auto"/>
        <w:ind w:firstLine="424" w:firstLineChars="200"/>
        <w:rPr>
          <w:rFonts w:hint="eastAsia" w:ascii="宋体" w:hAnsi="宋体" w:eastAsia="宋体" w:cs="宋体"/>
          <w:bCs/>
          <w:color w:val="000000"/>
          <w:sz w:val="21"/>
          <w:szCs w:val="21"/>
          <w:highlight w:val="none"/>
          <w:lang w:val="zh-CN"/>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磋商</w:t>
      </w:r>
      <w:r>
        <w:rPr>
          <w:rFonts w:hint="eastAsia" w:ascii="宋体" w:hAnsi="宋体" w:eastAsia="宋体" w:cs="宋体"/>
          <w:bCs/>
          <w:color w:val="000000"/>
          <w:sz w:val="21"/>
          <w:szCs w:val="21"/>
          <w:highlight w:val="none"/>
          <w:lang w:val="zh-CN"/>
        </w:rPr>
        <w:t>小组在评审过程中，应以供应商提供的响应文件为评审依据，不得接受响应文件以外的任何形式的文件资料。</w:t>
      </w:r>
    </w:p>
    <w:p>
      <w:pPr>
        <w:snapToGrid w:val="0"/>
        <w:spacing w:line="360" w:lineRule="auto"/>
        <w:ind w:firstLine="424"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1"/>
          <w:szCs w:val="21"/>
          <w:highlight w:val="none"/>
          <w:lang w:val="en-US" w:eastAsia="zh-CN"/>
        </w:rPr>
        <w:t>14</w:t>
      </w:r>
      <w:r>
        <w:rPr>
          <w:rFonts w:hint="eastAsia" w:ascii="宋体" w:hAnsi="宋体" w:eastAsia="宋体" w:cs="宋体"/>
          <w:bCs/>
          <w:color w:val="000000"/>
          <w:sz w:val="21"/>
          <w:szCs w:val="21"/>
          <w:highlight w:val="none"/>
        </w:rPr>
        <w:t>、磋商文件中规定的其他情况。</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十六、供应商禁止行为</w:t>
      </w:r>
    </w:p>
    <w:p>
      <w:pPr>
        <w:spacing w:line="360" w:lineRule="auto"/>
        <w:ind w:left="420"/>
        <w:rPr>
          <w:rFonts w:hint="eastAsia" w:ascii="宋体" w:hAnsi="宋体" w:eastAsia="宋体" w:cs="宋体"/>
          <w:sz w:val="21"/>
          <w:szCs w:val="21"/>
          <w:highlight w:val="none"/>
        </w:rPr>
      </w:pPr>
      <w:r>
        <w:rPr>
          <w:rFonts w:hint="eastAsia" w:ascii="宋体" w:hAnsi="宋体" w:eastAsia="宋体" w:cs="宋体"/>
          <w:sz w:val="21"/>
          <w:szCs w:val="21"/>
          <w:highlight w:val="none"/>
        </w:rPr>
        <w:t>（1）供应商在提交响应文件截止时间后撤回响应文件；</w:t>
      </w:r>
    </w:p>
    <w:p>
      <w:pPr>
        <w:spacing w:line="360" w:lineRule="auto"/>
        <w:ind w:left="420"/>
        <w:rPr>
          <w:rFonts w:hint="eastAsia" w:ascii="宋体" w:hAnsi="宋体" w:eastAsia="宋体" w:cs="宋体"/>
          <w:sz w:val="21"/>
          <w:szCs w:val="21"/>
          <w:highlight w:val="none"/>
        </w:rPr>
      </w:pPr>
      <w:r>
        <w:rPr>
          <w:rFonts w:hint="eastAsia" w:ascii="宋体" w:hAnsi="宋体" w:eastAsia="宋体" w:cs="宋体"/>
          <w:sz w:val="21"/>
          <w:szCs w:val="21"/>
          <w:highlight w:val="none"/>
        </w:rPr>
        <w:t>（2）成交人在评审结果产生后放弃成交；</w:t>
      </w:r>
    </w:p>
    <w:p>
      <w:pPr>
        <w:spacing w:line="360" w:lineRule="auto"/>
        <w:ind w:left="420"/>
        <w:rPr>
          <w:rFonts w:hint="eastAsia" w:ascii="宋体" w:hAnsi="宋体" w:eastAsia="宋体" w:cs="宋体"/>
          <w:color w:val="FF6600"/>
          <w:sz w:val="21"/>
          <w:szCs w:val="21"/>
          <w:highlight w:val="none"/>
        </w:rPr>
      </w:pPr>
      <w:r>
        <w:rPr>
          <w:rFonts w:hint="eastAsia" w:ascii="宋体" w:hAnsi="宋体" w:eastAsia="宋体" w:cs="宋体"/>
          <w:sz w:val="21"/>
          <w:szCs w:val="21"/>
          <w:highlight w:val="none"/>
        </w:rPr>
        <w:t>（3）成交人在规定的时限内不签订采购合同。</w:t>
      </w:r>
    </w:p>
    <w:p>
      <w:pPr>
        <w:snapToGrid w:val="0"/>
        <w:spacing w:line="360" w:lineRule="auto"/>
        <w:rPr>
          <w:rFonts w:hint="eastAsia" w:ascii="宋体" w:hAnsi="宋体" w:eastAsia="宋体" w:cs="宋体"/>
          <w:b/>
          <w:spacing w:val="-2"/>
          <w:sz w:val="24"/>
          <w:szCs w:val="24"/>
          <w:highlight w:val="none"/>
        </w:rPr>
      </w:pPr>
      <w:r>
        <w:rPr>
          <w:rFonts w:hint="eastAsia" w:ascii="宋体" w:hAnsi="宋体" w:eastAsia="宋体" w:cs="宋体"/>
          <w:b/>
          <w:bCs/>
          <w:sz w:val="24"/>
          <w:szCs w:val="24"/>
          <w:highlight w:val="none"/>
        </w:rPr>
        <w:t>十七、</w:t>
      </w:r>
      <w:r>
        <w:rPr>
          <w:rFonts w:hint="eastAsia" w:ascii="宋体" w:hAnsi="宋体" w:eastAsia="宋体" w:cs="宋体"/>
          <w:b/>
          <w:spacing w:val="-2"/>
          <w:sz w:val="24"/>
          <w:szCs w:val="24"/>
          <w:highlight w:val="none"/>
        </w:rPr>
        <w:t>磋商保证金</w:t>
      </w:r>
    </w:p>
    <w:p>
      <w:pPr>
        <w:spacing w:line="360" w:lineRule="auto"/>
        <w:ind w:firstLine="424"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1.户名：</w:t>
      </w:r>
      <w:r>
        <w:rPr>
          <w:rFonts w:hint="eastAsia" w:ascii="宋体" w:hAnsi="宋体" w:eastAsia="宋体" w:cs="宋体"/>
          <w:sz w:val="21"/>
          <w:szCs w:val="21"/>
          <w:highlight w:val="none"/>
          <w:lang w:eastAsia="zh-CN"/>
        </w:rPr>
        <w:t>正信伟业工程咨询管理有限公司</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2.账号：7451110182600027374</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3.开户银行：中信银行哈尔滨分行营业部 </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4.磋商保证金的形式：银行汇款</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5.磋商保证金的金额：</w:t>
      </w:r>
      <w:r>
        <w:rPr>
          <w:rFonts w:hint="eastAsia" w:ascii="宋体" w:hAnsi="宋体" w:eastAsia="宋体" w:cs="宋体"/>
          <w:sz w:val="21"/>
          <w:szCs w:val="21"/>
          <w:highlight w:val="none"/>
          <w:lang w:val="en-US" w:eastAsia="zh-CN"/>
        </w:rPr>
        <w:t>18000</w:t>
      </w:r>
      <w:r>
        <w:rPr>
          <w:rFonts w:hint="eastAsia" w:ascii="宋体" w:hAnsi="宋体" w:eastAsia="宋体" w:cs="宋体"/>
          <w:sz w:val="21"/>
          <w:szCs w:val="21"/>
          <w:highlight w:val="none"/>
        </w:rPr>
        <w:t>.00元</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6.磋商保证金的递交方式：从供应商企业基本账户进行转账的形式交纳。</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7.磋商保证金交纳的时间及地点：</w:t>
      </w:r>
      <w:r>
        <w:rPr>
          <w:rStyle w:val="30"/>
          <w:rFonts w:hint="eastAsia" w:ascii="宋体" w:hAnsi="宋体" w:eastAsia="宋体" w:cs="宋体"/>
          <w:b w:val="0"/>
          <w:bCs/>
          <w:sz w:val="21"/>
          <w:szCs w:val="21"/>
          <w:highlight w:val="none"/>
          <w:lang w:eastAsia="zh-CN"/>
        </w:rPr>
        <w:t>2020年</w:t>
      </w:r>
      <w:r>
        <w:rPr>
          <w:rStyle w:val="30"/>
          <w:rFonts w:hint="eastAsia" w:ascii="宋体" w:hAnsi="宋体" w:eastAsia="宋体" w:cs="宋体"/>
          <w:b w:val="0"/>
          <w:bCs/>
          <w:sz w:val="21"/>
          <w:szCs w:val="21"/>
          <w:highlight w:val="none"/>
          <w:lang w:val="en-US" w:eastAsia="zh-CN"/>
        </w:rPr>
        <w:t>08</w:t>
      </w:r>
      <w:r>
        <w:rPr>
          <w:rStyle w:val="30"/>
          <w:rFonts w:hint="eastAsia" w:ascii="宋体" w:hAnsi="宋体" w:eastAsia="宋体" w:cs="宋体"/>
          <w:b w:val="0"/>
          <w:bCs/>
          <w:sz w:val="21"/>
          <w:szCs w:val="21"/>
          <w:highlight w:val="none"/>
          <w:lang w:eastAsia="zh-CN"/>
        </w:rPr>
        <w:t>月</w:t>
      </w:r>
      <w:r>
        <w:rPr>
          <w:rStyle w:val="30"/>
          <w:rFonts w:hint="eastAsia" w:ascii="宋体" w:hAnsi="宋体" w:eastAsia="宋体" w:cs="宋体"/>
          <w:b w:val="0"/>
          <w:bCs/>
          <w:sz w:val="21"/>
          <w:szCs w:val="21"/>
          <w:highlight w:val="none"/>
          <w:lang w:val="en-US" w:eastAsia="zh-CN"/>
        </w:rPr>
        <w:t>24</w:t>
      </w:r>
      <w:r>
        <w:rPr>
          <w:rStyle w:val="30"/>
          <w:rFonts w:hint="eastAsia" w:ascii="宋体" w:hAnsi="宋体" w:eastAsia="宋体" w:cs="宋体"/>
          <w:b w:val="0"/>
          <w:bCs/>
          <w:sz w:val="21"/>
          <w:szCs w:val="21"/>
          <w:highlight w:val="none"/>
          <w:lang w:eastAsia="zh-CN"/>
        </w:rPr>
        <w:t>日14时</w:t>
      </w:r>
      <w:r>
        <w:rPr>
          <w:rStyle w:val="30"/>
          <w:rFonts w:hint="eastAsia" w:ascii="宋体" w:hAnsi="宋体" w:eastAsia="宋体" w:cs="宋体"/>
          <w:b w:val="0"/>
          <w:bCs/>
          <w:sz w:val="21"/>
          <w:szCs w:val="21"/>
          <w:highlight w:val="none"/>
          <w:lang w:val="en-US" w:eastAsia="zh-CN"/>
        </w:rPr>
        <w:t>00</w:t>
      </w:r>
      <w:r>
        <w:rPr>
          <w:rStyle w:val="30"/>
          <w:rFonts w:hint="eastAsia" w:ascii="宋体" w:hAnsi="宋体" w:eastAsia="宋体" w:cs="宋体"/>
          <w:b w:val="0"/>
          <w:bCs/>
          <w:sz w:val="21"/>
          <w:szCs w:val="21"/>
          <w:highlight w:val="none"/>
          <w:lang w:eastAsia="zh-CN"/>
        </w:rPr>
        <w:t>分</w:t>
      </w:r>
      <w:r>
        <w:rPr>
          <w:rFonts w:hint="eastAsia" w:ascii="宋体" w:hAnsi="宋体" w:eastAsia="宋体" w:cs="宋体"/>
          <w:sz w:val="21"/>
          <w:szCs w:val="21"/>
          <w:highlight w:val="none"/>
        </w:rPr>
        <w:t>。</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注：1、供应商必须从企业工商注册所在地基本账户汇款至</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账户(磋商文件中指定的账户)，且磋商保证金的付款单位与供应商的名称必须一致。2、汇款时必须注明工程“项目全称及磋商保证金”字样，如未按要求注明将视为没有缴纳，所造成的一切后果均由供应商自行负责。3、各供应商汇款后，应查询本企业开户银行磋商保证金是否有退款的情况。4、磋商保证金以我公司账户收到款项日期为准。5、汇款后将电汇底单和银行开户许可证清晰扫描件发送至zxwyzb7@163.com邮箱，注明“</w:t>
      </w:r>
      <w:r>
        <w:rPr>
          <w:rFonts w:hint="eastAsia" w:ascii="宋体" w:hAnsi="宋体" w:eastAsia="宋体" w:cs="宋体"/>
          <w:sz w:val="21"/>
          <w:szCs w:val="21"/>
          <w:highlight w:val="none"/>
          <w:lang w:eastAsia="zh-CN"/>
        </w:rPr>
        <w:t>哈工程体育设施项目</w:t>
      </w:r>
      <w:r>
        <w:rPr>
          <w:rFonts w:hint="eastAsia" w:ascii="宋体" w:hAnsi="宋体" w:eastAsia="宋体" w:cs="宋体"/>
          <w:sz w:val="21"/>
          <w:szCs w:val="21"/>
          <w:highlight w:val="none"/>
        </w:rPr>
        <w:t>保证金”。</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以电汇的形式于</w:t>
      </w:r>
      <w:r>
        <w:rPr>
          <w:rStyle w:val="30"/>
          <w:rFonts w:hint="eastAsia" w:ascii="宋体" w:hAnsi="宋体" w:eastAsia="宋体" w:cs="宋体"/>
          <w:b w:val="0"/>
          <w:bCs/>
          <w:sz w:val="21"/>
          <w:szCs w:val="21"/>
          <w:highlight w:val="none"/>
          <w:lang w:eastAsia="zh-CN"/>
        </w:rPr>
        <w:t>2020年</w:t>
      </w:r>
      <w:r>
        <w:rPr>
          <w:rStyle w:val="30"/>
          <w:rFonts w:hint="eastAsia" w:ascii="宋体" w:hAnsi="宋体" w:eastAsia="宋体" w:cs="宋体"/>
          <w:b w:val="0"/>
          <w:bCs/>
          <w:sz w:val="21"/>
          <w:szCs w:val="21"/>
          <w:highlight w:val="none"/>
          <w:lang w:val="en-US" w:eastAsia="zh-CN"/>
        </w:rPr>
        <w:t>08</w:t>
      </w:r>
      <w:r>
        <w:rPr>
          <w:rStyle w:val="30"/>
          <w:rFonts w:hint="eastAsia" w:ascii="宋体" w:hAnsi="宋体" w:eastAsia="宋体" w:cs="宋体"/>
          <w:b w:val="0"/>
          <w:bCs/>
          <w:sz w:val="21"/>
          <w:szCs w:val="21"/>
          <w:highlight w:val="none"/>
          <w:lang w:eastAsia="zh-CN"/>
        </w:rPr>
        <w:t>月</w:t>
      </w:r>
      <w:r>
        <w:rPr>
          <w:rStyle w:val="30"/>
          <w:rFonts w:hint="eastAsia" w:ascii="宋体" w:hAnsi="宋体" w:eastAsia="宋体" w:cs="宋体"/>
          <w:b w:val="0"/>
          <w:bCs/>
          <w:sz w:val="21"/>
          <w:szCs w:val="21"/>
          <w:highlight w:val="none"/>
          <w:lang w:val="en-US" w:eastAsia="zh-CN"/>
        </w:rPr>
        <w:t>24</w:t>
      </w:r>
      <w:r>
        <w:rPr>
          <w:rStyle w:val="30"/>
          <w:rFonts w:hint="eastAsia" w:ascii="宋体" w:hAnsi="宋体" w:eastAsia="宋体" w:cs="宋体"/>
          <w:b w:val="0"/>
          <w:bCs/>
          <w:sz w:val="21"/>
          <w:szCs w:val="21"/>
          <w:highlight w:val="none"/>
          <w:lang w:eastAsia="zh-CN"/>
        </w:rPr>
        <w:t>日14时</w:t>
      </w:r>
      <w:r>
        <w:rPr>
          <w:rStyle w:val="30"/>
          <w:rFonts w:hint="eastAsia" w:ascii="宋体" w:hAnsi="宋体" w:eastAsia="宋体" w:cs="宋体"/>
          <w:b w:val="0"/>
          <w:bCs/>
          <w:sz w:val="21"/>
          <w:szCs w:val="21"/>
          <w:highlight w:val="none"/>
          <w:lang w:val="en-US" w:eastAsia="zh-CN"/>
        </w:rPr>
        <w:t>00</w:t>
      </w:r>
      <w:r>
        <w:rPr>
          <w:rStyle w:val="30"/>
          <w:rFonts w:hint="eastAsia" w:ascii="宋体" w:hAnsi="宋体" w:eastAsia="宋体" w:cs="宋体"/>
          <w:b w:val="0"/>
          <w:bCs/>
          <w:sz w:val="21"/>
          <w:szCs w:val="21"/>
          <w:highlight w:val="none"/>
          <w:lang w:eastAsia="zh-CN"/>
        </w:rPr>
        <w:t>分前</w:t>
      </w:r>
      <w:r>
        <w:rPr>
          <w:rFonts w:hint="eastAsia" w:ascii="宋体" w:hAnsi="宋体" w:eastAsia="宋体" w:cs="宋体"/>
          <w:sz w:val="21"/>
          <w:szCs w:val="21"/>
          <w:highlight w:val="none"/>
        </w:rPr>
        <w:t>电汇至</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财务室，注明项目名称、项目编号和所投包号。有以下情形的汇款，拒收并回退原账户：</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（1）未注明项目名称、项目编号和所投包号或注明错误的；</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（2）以个人名义汇至</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账户的；</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（3）汇款人账户名称、账号与供应商开户许可证名称、账号不一致的。</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担保保函方式提交磋商保证金的，应提交经省级及以上财政部门认定的担保公司出具的投标保函，或银行出具的投标保函（保函需对代理机构）。投标保函应按磋商文件中规定的“政府采购投标保函”样式出具，不按磋商文件规定的“政府采购投标保函”样式出具的磋商保函，代理机构不予接受。</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8.任何未按要求提交磋商保证金、投标保函的供应商，代理机构将视其为非实质性响应而予以拒绝。</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9.磋商保证金的清退</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（1）如无质疑或投诉，未成交的磋商供应商的磋商保证金于成交通知书发出后5</w:t>
      </w:r>
      <w:r>
        <w:rPr>
          <w:rFonts w:hint="eastAsia" w:ascii="宋体" w:hAnsi="宋体" w:eastAsia="宋体" w:cs="宋体"/>
          <w:sz w:val="21"/>
          <w:szCs w:val="21"/>
          <w:highlight w:val="none"/>
          <w:lang w:val="en-US" w:eastAsia="zh-CN"/>
        </w:rPr>
        <w:t>个工作</w:t>
      </w:r>
      <w:r>
        <w:rPr>
          <w:rFonts w:hint="eastAsia" w:ascii="宋体" w:hAnsi="宋体" w:eastAsia="宋体" w:cs="宋体"/>
          <w:sz w:val="21"/>
          <w:szCs w:val="21"/>
          <w:highlight w:val="none"/>
        </w:rPr>
        <w:t>日内予以退还；</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成交供应商的磋商保证金将按照有关规定，在采购单位与成交供应商签订合同后5日内予以退还。</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（2）如有质疑或投诉，将在质疑或投诉处理完毕后5日内为未成交供应商办理保证金清退手续；</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（3）磋商保证金清退时，</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将按原汇款账号退回，</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不受理以任何理由将磋商保证金退至其他账户的业务；</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4.有下列情形之一的，供应商的磋商保证金将被依法没收：</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(1)在提交响应文件截止时间后撤回响应文件的；</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(2)在响应文件中提供虚假材料的；</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(3)成交后无正当理由放弃成交或在规定期限内不与采购人签订合同的；</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(4)与采购人、其他供应商或者采购代理机构恶意串通的；</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(5)被认定为虚假和恶意质疑的。</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5.对磋商保证金的咨询请与代理机构招标七组联系：</w:t>
      </w:r>
    </w:p>
    <w:p>
      <w:pPr>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 0451-82362805-807</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邵</w:t>
      </w:r>
      <w:r>
        <w:rPr>
          <w:rFonts w:hint="eastAsia" w:ascii="宋体" w:hAnsi="宋体" w:eastAsia="宋体" w:cs="宋体"/>
          <w:sz w:val="21"/>
          <w:szCs w:val="21"/>
          <w:highlight w:val="none"/>
        </w:rPr>
        <w:t>先生；</w:t>
      </w:r>
    </w:p>
    <w:p>
      <w:pPr>
        <w:spacing w:line="360" w:lineRule="auto"/>
        <w:ind w:firstLine="564" w:firstLineChars="20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D  磋商及评审方法</w:t>
      </w:r>
    </w:p>
    <w:p>
      <w:pPr>
        <w:snapToGrid w:val="0"/>
        <w:spacing w:line="360" w:lineRule="auto"/>
        <w:ind w:firstLine="510"/>
        <w:jc w:val="center"/>
        <w:rPr>
          <w:rFonts w:hint="eastAsia" w:ascii="宋体" w:hAnsi="宋体" w:eastAsia="宋体" w:cs="宋体"/>
          <w:spacing w:val="-10"/>
          <w:sz w:val="24"/>
          <w:szCs w:val="24"/>
          <w:highlight w:val="none"/>
        </w:rPr>
      </w:pPr>
    </w:p>
    <w:p>
      <w:pPr>
        <w:snapToGrid w:val="0"/>
        <w:spacing w:line="360" w:lineRule="auto"/>
        <w:rPr>
          <w:rFonts w:hint="eastAsia" w:ascii="宋体" w:hAnsi="宋体" w:eastAsia="宋体" w:cs="宋体"/>
          <w:b/>
          <w:bCs/>
          <w:spacing w:val="-10"/>
          <w:sz w:val="24"/>
          <w:szCs w:val="24"/>
          <w:highlight w:val="none"/>
        </w:rPr>
      </w:pPr>
      <w:r>
        <w:rPr>
          <w:rFonts w:hint="eastAsia" w:ascii="宋体" w:hAnsi="宋体" w:eastAsia="宋体" w:cs="宋体"/>
          <w:b/>
          <w:bCs/>
          <w:spacing w:val="-10"/>
          <w:sz w:val="24"/>
          <w:szCs w:val="24"/>
          <w:highlight w:val="none"/>
        </w:rPr>
        <w:t>十八、磋商</w:t>
      </w:r>
    </w:p>
    <w:p>
      <w:pPr>
        <w:spacing w:line="360" w:lineRule="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（一）磋商</w:t>
      </w:r>
      <w:r>
        <w:rPr>
          <w:rFonts w:hint="eastAsia" w:ascii="宋体" w:hAnsi="宋体" w:eastAsia="宋体" w:cs="宋体"/>
          <w:sz w:val="21"/>
          <w:szCs w:val="21"/>
          <w:highlight w:val="none"/>
        </w:rPr>
        <w:t>工作由采购代理机构负责组织，具体评审事务由采购代理机构依法组建的竞争性磋商小组负责；</w:t>
      </w:r>
    </w:p>
    <w:p>
      <w:pPr>
        <w:spacing w:line="360" w:lineRule="auto"/>
        <w:rPr>
          <w:rFonts w:hint="eastAsia" w:ascii="宋体" w:hAnsi="宋体" w:eastAsia="宋体" w:cs="宋体"/>
          <w:spacing w:val="-10"/>
          <w:sz w:val="21"/>
          <w:szCs w:val="21"/>
          <w:highlight w:val="none"/>
        </w:rPr>
      </w:pPr>
      <w:r>
        <w:rPr>
          <w:rFonts w:hint="eastAsia" w:ascii="宋体" w:hAnsi="宋体" w:eastAsia="宋体" w:cs="宋体"/>
          <w:spacing w:val="-10"/>
          <w:sz w:val="21"/>
          <w:szCs w:val="21"/>
          <w:highlight w:val="none"/>
        </w:rPr>
        <w:t>（二）参加磋商的供应商须按竞争性磋商文件规定的时间和地点提交</w:t>
      </w:r>
      <w:r>
        <w:rPr>
          <w:rFonts w:hint="eastAsia" w:ascii="宋体" w:hAnsi="宋体" w:eastAsia="宋体" w:cs="宋体"/>
          <w:sz w:val="21"/>
          <w:szCs w:val="21"/>
          <w:highlight w:val="none"/>
        </w:rPr>
        <w:t>响应</w:t>
      </w:r>
      <w:r>
        <w:rPr>
          <w:rFonts w:hint="eastAsia" w:ascii="宋体" w:hAnsi="宋体" w:eastAsia="宋体" w:cs="宋体"/>
          <w:spacing w:val="-10"/>
          <w:sz w:val="21"/>
          <w:szCs w:val="21"/>
          <w:highlight w:val="none"/>
        </w:rPr>
        <w:t xml:space="preserve">文件；    </w:t>
      </w:r>
    </w:p>
    <w:p>
      <w:pPr>
        <w:spacing w:line="360" w:lineRule="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（三）</w:t>
      </w:r>
      <w:r>
        <w:rPr>
          <w:rFonts w:hint="eastAsia" w:ascii="宋体" w:hAnsi="宋体" w:eastAsia="宋体" w:cs="宋体"/>
          <w:sz w:val="21"/>
          <w:szCs w:val="21"/>
          <w:highlight w:val="none"/>
        </w:rPr>
        <w:t>资格性审查：</w:t>
      </w:r>
    </w:p>
    <w:p>
      <w:pPr>
        <w:spacing w:line="360" w:lineRule="auto"/>
        <w:ind w:firstLine="476"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1、报价供应商代表身份确认。磋商小组对报价供应商代表递交报价文件时拍摄的本人及身份证照片与报价文件中报价供应商代表身份证复印件、法人代表授权书进行比对，如确定为同一个人，则报价供应商代表身份合格，否则报价无效；</w:t>
      </w:r>
    </w:p>
    <w:p>
      <w:pPr>
        <w:spacing w:line="360" w:lineRule="auto"/>
        <w:ind w:firstLine="476"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2、磋商小组依据法律法规和竞争性磋商文件规定，对响应文件中的资格证明等进行审查，以确定供应商是否具备入围资格。如供应商不具备入围资格，应书面告知未入围的供应商原因并要求其签字确认收到告知书；</w:t>
      </w:r>
    </w:p>
    <w:p>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符合性检查。依据竞争性磋商文件的规定，从响应文件的有效性、完整性和对竞争性磋商文件的响应程度进行检查，以确定是否对竞争性磋商文件的实质性要求作出响应。如未作出实质性响应，应书面告知未实质性响应的具体条款并签字确认收到告知书；</w:t>
      </w:r>
    </w:p>
    <w:p>
      <w:pPr>
        <w:snapToGrid w:val="0"/>
        <w:spacing w:line="360" w:lineRule="auto"/>
        <w:rPr>
          <w:rFonts w:hint="eastAsia" w:ascii="宋体" w:hAnsi="宋体" w:eastAsia="宋体" w:cs="宋体"/>
          <w:spacing w:val="-10"/>
          <w:sz w:val="21"/>
          <w:szCs w:val="21"/>
          <w:highlight w:val="none"/>
        </w:rPr>
      </w:pPr>
      <w:r>
        <w:rPr>
          <w:rFonts w:hint="eastAsia" w:ascii="宋体" w:hAnsi="宋体" w:eastAsia="宋体" w:cs="宋体"/>
          <w:spacing w:val="-10"/>
          <w:sz w:val="21"/>
          <w:szCs w:val="21"/>
          <w:highlight w:val="none"/>
        </w:rPr>
        <w:t>（五）</w:t>
      </w:r>
      <w:r>
        <w:rPr>
          <w:rFonts w:hint="eastAsia" w:ascii="宋体" w:hAnsi="宋体" w:eastAsia="宋体" w:cs="宋体"/>
          <w:sz w:val="21"/>
          <w:szCs w:val="21"/>
          <w:highlight w:val="none"/>
        </w:rPr>
        <w:t>对响应文件审查完毕后，</w:t>
      </w:r>
      <w:r>
        <w:rPr>
          <w:rFonts w:hint="eastAsia" w:ascii="宋体" w:hAnsi="宋体" w:eastAsia="宋体" w:cs="宋体"/>
          <w:spacing w:val="-10"/>
          <w:sz w:val="21"/>
          <w:szCs w:val="21"/>
          <w:highlight w:val="none"/>
        </w:rPr>
        <w:t>磋商小组成员集中与单一供应商分别进行磋商，</w:t>
      </w:r>
      <w:r>
        <w:rPr>
          <w:rFonts w:hint="eastAsia" w:ascii="宋体" w:hAnsi="宋体" w:eastAsia="宋体" w:cs="宋体"/>
          <w:sz w:val="21"/>
          <w:szCs w:val="21"/>
          <w:highlight w:val="none"/>
        </w:rPr>
        <w:t>并有权要求供应商对响应文件有关事项作出解释或者澄清。重要的解释或者澄清须以书面形式回复，并将构成响应文件的重要组成部分。</w:t>
      </w:r>
      <w:r>
        <w:rPr>
          <w:rFonts w:hint="eastAsia" w:ascii="宋体" w:hAnsi="宋体" w:eastAsia="宋体" w:cs="宋体"/>
          <w:spacing w:val="-10"/>
          <w:sz w:val="21"/>
          <w:szCs w:val="21"/>
          <w:highlight w:val="none"/>
        </w:rPr>
        <w:t>在磋商中，磋商的任何一方不得透露与磋商有关的其他供应商的技术资料、价格和其他信息；</w:t>
      </w:r>
    </w:p>
    <w:p>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（六）供应商若有影响磋商结果的任何举动，将导致其最后报价被拒绝；</w:t>
      </w:r>
    </w:p>
    <w:p>
      <w:pPr>
        <w:snapToGrid w:val="0"/>
        <w:spacing w:line="360" w:lineRule="auto"/>
        <w:rPr>
          <w:rFonts w:hint="eastAsia" w:ascii="宋体" w:hAnsi="宋体" w:eastAsia="宋体" w:cs="宋体"/>
          <w:spacing w:val="-10"/>
          <w:sz w:val="21"/>
          <w:szCs w:val="21"/>
          <w:highlight w:val="none"/>
        </w:rPr>
      </w:pPr>
      <w:r>
        <w:rPr>
          <w:rFonts w:hint="eastAsia" w:ascii="宋体" w:hAnsi="宋体" w:eastAsia="宋体" w:cs="宋体"/>
          <w:spacing w:val="-10"/>
          <w:sz w:val="21"/>
          <w:szCs w:val="21"/>
          <w:highlight w:val="none"/>
        </w:rPr>
        <w:t>（七）在磋商过程中，如采购人对采购需求有变动，磋商小组应当以书面形式通知所有参加磋商的供应商；</w:t>
      </w:r>
    </w:p>
    <w:p>
      <w:pPr>
        <w:snapToGrid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pacing w:val="-10"/>
          <w:sz w:val="21"/>
          <w:szCs w:val="21"/>
          <w:highlight w:val="none"/>
        </w:rPr>
        <w:t>（八）磋商结束后，</w:t>
      </w:r>
      <w:r>
        <w:rPr>
          <w:rFonts w:hint="eastAsia" w:ascii="宋体" w:hAnsi="宋体" w:eastAsia="宋体" w:cs="宋体"/>
          <w:sz w:val="21"/>
          <w:szCs w:val="21"/>
          <w:highlight w:val="none"/>
        </w:rPr>
        <w:t>由磋商小组负责确定最终入围供应商。即资格性和符合性检查合格的供应商，作为入围供应商，有资格进行最后报价。该报价将作为磋商小组确定最终成交</w:t>
      </w:r>
      <w:r>
        <w:rPr>
          <w:rFonts w:hint="eastAsia" w:ascii="宋体" w:hAnsi="宋体" w:eastAsia="宋体" w:cs="宋体"/>
          <w:sz w:val="21"/>
          <w:szCs w:val="21"/>
          <w:highlight w:val="none"/>
          <w:lang w:val="en-US" w:eastAsia="zh-CN"/>
        </w:rPr>
        <w:t>候选</w:t>
      </w:r>
      <w:r>
        <w:rPr>
          <w:rFonts w:hint="eastAsia" w:ascii="宋体" w:hAnsi="宋体" w:eastAsia="宋体" w:cs="宋体"/>
          <w:sz w:val="21"/>
          <w:szCs w:val="21"/>
          <w:highlight w:val="none"/>
        </w:rPr>
        <w:t>供应商的价格，提交最后报价的供应商不得少于3家；</w:t>
      </w:r>
      <w:r>
        <w:rPr>
          <w:rFonts w:hint="eastAsia" w:ascii="宋体" w:hAnsi="宋体" w:eastAsia="宋体" w:cs="宋体"/>
          <w:sz w:val="21"/>
          <w:szCs w:val="21"/>
          <w:highlight w:val="none"/>
          <w:lang w:val="en-US" w:eastAsia="zh-CN"/>
        </w:rPr>
        <w:t xml:space="preserve">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九）入围供应商应在规定时间内做出最后报价，并将报价单在报价截止时间（以开标大厅时间为准）前投入指定报价箱中。在最后报价截止时间后递交的报价将被拒收。如入围供应商未按规定要求和时间提交最后报价，将以该供应商提交的初始报价作为其最后报价。</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（十）最后报价密封后在磋商小组规定的截止时间前（以开标大厅时间为准）提交到</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哈尔滨市香坊区红旗大街235号投资大厦17层）开标室“最后报价提交处”（有项目名称和项目编号标识)。如供应商认为最后报价时间不足，应当场向磋商小组提交延长申请，由磋商小组研究后重新确定最后报价截止时间。重新确定最后报价截止时间后再提交的延长申请，磋商小组不予受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（十一）出现下列情形之一的，将以该供应商提交的初始报价作为其最后报价：</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（1）最后报价未按规定密封的；</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（2）最后报价未在规定时间提交的；</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（3）最后报价未按要求签字的；</w:t>
      </w:r>
    </w:p>
    <w:p>
      <w:pPr>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（4）最后报价改变了初始报价中材料的品牌、规格和质量等级的。</w:t>
      </w:r>
    </w:p>
    <w:p>
      <w:pPr>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（十二）企业信用记录核实</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1、核实内容：磋商小组现场核实供应商</w:t>
      </w:r>
      <w:r>
        <w:rPr>
          <w:rFonts w:hint="eastAsia" w:ascii="宋体" w:hAnsi="宋体" w:eastAsia="宋体" w:cs="宋体"/>
          <w:kern w:val="0"/>
          <w:sz w:val="21"/>
          <w:szCs w:val="21"/>
          <w:highlight w:val="none"/>
          <w:lang w:val="en-US" w:eastAsia="zh-CN"/>
        </w:rPr>
        <w:t>是否被“</w:t>
      </w:r>
      <w:r>
        <w:rPr>
          <w:rFonts w:hint="eastAsia" w:ascii="宋体" w:hAnsi="宋体" w:eastAsia="宋体" w:cs="宋体"/>
          <w:kern w:val="0"/>
          <w:sz w:val="21"/>
          <w:szCs w:val="21"/>
          <w:highlight w:val="none"/>
        </w:rPr>
        <w:t>列入失信被执行人</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重大税收违法案件当事人名单</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以及政府采购严重违法失信行为记录名单</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2、核实路径：</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（1）“信用中国”（</w:t>
      </w:r>
      <w:r>
        <w:rPr>
          <w:rFonts w:hint="eastAsia" w:ascii="宋体" w:hAnsi="宋体" w:eastAsia="宋体" w:cs="宋体"/>
          <w:kern w:val="0"/>
          <w:sz w:val="21"/>
          <w:szCs w:val="21"/>
          <w:highlight w:val="none"/>
        </w:rPr>
        <w:drawing>
          <wp:inline distT="0" distB="0" distL="0" distR="0">
            <wp:extent cx="190500" cy="142875"/>
            <wp:effectExtent l="19050" t="0" r="0" b="0"/>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noChangeArrowheads="1"/>
                    </pic:cNvPicPr>
                  </pic:nvPicPr>
                  <pic:blipFill>
                    <a:blip r:embed="rId9"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int="eastAsia" w:ascii="宋体" w:hAnsi="宋体" w:eastAsia="宋体" w:cs="宋体"/>
          <w:kern w:val="0"/>
          <w:sz w:val="21"/>
          <w:szCs w:val="21"/>
          <w:highlight w:val="none"/>
        </w:rPr>
        <w:t>http://www.creditchina.gov.cn）；</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（2）“中国政府采购网”（网址：</w:t>
      </w:r>
      <w:r>
        <w:rPr>
          <w:rFonts w:hint="eastAsia" w:ascii="宋体" w:hAnsi="宋体" w:eastAsia="宋体" w:cs="宋体"/>
          <w:kern w:val="0"/>
          <w:sz w:val="21"/>
          <w:szCs w:val="21"/>
          <w:highlight w:val="none"/>
        </w:rPr>
        <w:drawing>
          <wp:inline distT="0" distB="0" distL="0" distR="0">
            <wp:extent cx="190500" cy="142875"/>
            <wp:effectExtent l="19050" t="0" r="0" b="0"/>
            <wp:docPr id="2"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7"/>
                    <pic:cNvPicPr>
                      <a:picLocks noChangeAspect="1" noChangeArrowheads="1"/>
                    </pic:cNvPicPr>
                  </pic:nvPicPr>
                  <pic:blipFill>
                    <a:blip r:embed="rId9"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int="eastAsia" w:ascii="宋体" w:hAnsi="宋体" w:eastAsia="宋体" w:cs="宋体"/>
          <w:kern w:val="0"/>
          <w:sz w:val="21"/>
          <w:szCs w:val="21"/>
          <w:highlight w:val="none"/>
        </w:rPr>
        <w:t>http://www.ccgp.gov.cn/cr/list）；</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3）“国家企业信用信息公示系统”（http://www.gsxt.gov.cn/index.html）</w:t>
      </w:r>
    </w:p>
    <w:p>
      <w:pPr>
        <w:spacing w:line="360" w:lineRule="auto"/>
        <w:ind w:firstLine="48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 磋商小组应按竞争性磋商文件规定的查询网站、核实事项现场开展核实工作，以官方网站公开发布的严重违法失信行为记录作为判定事实的依据，如发现供应商三年内有不良信用记录，则报价无效；</w:t>
      </w:r>
    </w:p>
    <w:p>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十九、评审方法和原则 </w:t>
      </w:r>
    </w:p>
    <w:p>
      <w:pPr>
        <w:snapToGrid w:val="0"/>
        <w:spacing w:line="360" w:lineRule="auto"/>
        <w:ind w:firstLine="461" w:firstLineChars="218"/>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1、本项目采用综合评分法</w:t>
      </w:r>
      <w:r>
        <w:rPr>
          <w:rFonts w:hint="default"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满分为100分</w:t>
      </w:r>
      <w:r>
        <w:rPr>
          <w:rFonts w:hint="eastAsia" w:ascii="宋体" w:hAnsi="宋体" w:eastAsia="宋体" w:cs="宋体"/>
          <w:sz w:val="21"/>
          <w:szCs w:val="21"/>
          <w:highlight w:val="none"/>
          <w:lang w:eastAsia="zh-CN"/>
        </w:rPr>
        <w:t>。</w:t>
      </w:r>
    </w:p>
    <w:p>
      <w:pPr>
        <w:snapToGrid w:val="0"/>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2、最后报价的分值统一采用低价优先法计算，即满足磋商文件要求且最后报价最低的报价为磋商基准价，其价格分为满分。其他入围供应商的最后报价得分统一按照下列公式计算：</w:t>
      </w:r>
    </w:p>
    <w:p>
      <w:pPr>
        <w:snapToGrid w:val="0"/>
        <w:spacing w:line="360" w:lineRule="auto"/>
        <w:ind w:firstLine="461" w:firstLineChars="218"/>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最后报价得分＝（磋商基准价/最后报价）×</w:t>
      </w:r>
      <w:r>
        <w:rPr>
          <w:rFonts w:hint="eastAsia" w:ascii="宋体" w:hAnsi="宋体" w:eastAsia="宋体" w:cs="宋体"/>
          <w:sz w:val="21"/>
          <w:szCs w:val="21"/>
          <w:highlight w:val="none"/>
          <w:lang w:val="en-US" w:eastAsia="zh-CN"/>
        </w:rPr>
        <w:t>30</w:t>
      </w:r>
    </w:p>
    <w:p>
      <w:pPr>
        <w:snapToGrid w:val="0"/>
        <w:spacing w:line="360" w:lineRule="auto"/>
        <w:ind w:firstLine="461"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对小型、微型企业产品的最后报价给予</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%的价格扣除，用扣除后的价格参与评审。评审价=最后报价-最后报价×</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%，其评审价可以作为磋商基准价。</w:t>
      </w:r>
    </w:p>
    <w:p>
      <w:pPr>
        <w:snapToGrid w:val="0"/>
        <w:spacing w:line="360" w:lineRule="auto"/>
        <w:ind w:firstLine="461" w:firstLineChars="218"/>
        <w:rPr>
          <w:rFonts w:hint="eastAsia" w:ascii="宋体" w:hAnsi="宋体" w:cs="宋体"/>
          <w:szCs w:val="21"/>
          <w:lang w:eastAsia="zh-CN"/>
        </w:rPr>
      </w:pPr>
      <w:r>
        <w:rPr>
          <w:rFonts w:hint="eastAsia" w:ascii="宋体" w:hAnsi="宋体" w:cs="宋体"/>
          <w:szCs w:val="21"/>
        </w:rPr>
        <w:t>将供应商的综合得分按从高到低顺序排列，排在第一位的即为成交候选供应商。得分相同时，按最后报价由低到高顺序推荐；得分相同且最后报价相同的，按技术</w:t>
      </w:r>
      <w:r>
        <w:rPr>
          <w:rFonts w:hint="eastAsia" w:ascii="宋体" w:hAnsi="宋体" w:cs="宋体"/>
          <w:szCs w:val="21"/>
          <w:lang w:eastAsia="zh-CN"/>
        </w:rPr>
        <w:t>部分得分由高到低的</w:t>
      </w:r>
      <w:r>
        <w:rPr>
          <w:rFonts w:hint="eastAsia" w:ascii="宋体" w:hAnsi="宋体" w:cs="宋体"/>
          <w:szCs w:val="21"/>
        </w:rPr>
        <w:t>顺序推荐</w:t>
      </w:r>
      <w:r>
        <w:rPr>
          <w:rFonts w:hint="eastAsia" w:ascii="宋体" w:hAnsi="宋体" w:cs="宋体"/>
          <w:szCs w:val="21"/>
          <w:lang w:eastAsia="zh-CN"/>
        </w:rPr>
        <w:t>；技术部分得分也相同的，由采购人委托磋商小组采取随机抽取的方式确定成交供应商。</w:t>
      </w:r>
    </w:p>
    <w:p>
      <w:pPr>
        <w:snapToGrid w:val="0"/>
        <w:spacing w:line="360" w:lineRule="auto"/>
        <w:ind w:firstLine="461" w:firstLineChars="218"/>
        <w:rPr>
          <w:rFonts w:hint="eastAsia" w:ascii="宋体" w:hAnsi="宋体" w:cs="宋体"/>
          <w:szCs w:val="21"/>
        </w:rPr>
      </w:pPr>
      <w:r>
        <w:rPr>
          <w:rFonts w:hint="eastAsia" w:ascii="宋体" w:hAnsi="宋体" w:cs="宋体"/>
          <w:szCs w:val="21"/>
        </w:rPr>
        <w:t>3、评审优惠政策</w:t>
      </w:r>
    </w:p>
    <w:p>
      <w:pPr>
        <w:snapToGrid w:val="0"/>
        <w:spacing w:line="360" w:lineRule="auto"/>
        <w:ind w:firstLine="461" w:firstLineChars="218"/>
        <w:rPr>
          <w:rFonts w:hint="eastAsia" w:ascii="宋体" w:hAnsi="宋体" w:cs="宋体"/>
          <w:szCs w:val="21"/>
        </w:rPr>
      </w:pPr>
      <w:r>
        <w:rPr>
          <w:rFonts w:hint="eastAsia" w:ascii="宋体" w:hAnsi="宋体" w:cs="宋体"/>
          <w:szCs w:val="21"/>
        </w:rPr>
        <w:t xml:space="preserve">A </w:t>
      </w:r>
      <w:r>
        <w:rPr>
          <w:rFonts w:hint="eastAsia" w:ascii="宋体" w:hAnsi="宋体" w:cs="宋体"/>
          <w:szCs w:val="21"/>
          <w:lang w:eastAsia="zh-CN"/>
        </w:rPr>
        <w:t>、</w:t>
      </w:r>
      <w:r>
        <w:rPr>
          <w:rFonts w:hint="eastAsia" w:ascii="宋体" w:hAnsi="宋体" w:cs="宋体"/>
          <w:szCs w:val="21"/>
        </w:rPr>
        <w:t>根据财库〔2019〕9号文件规定，供应商所投产品涉及财库〔2019〕19号文件规定的节能产品政府采购品目清单中以“★”标注的产品（A020101 计算机设备、A020523 制冷空调设备、A020609 镇流器、A0206180203 空调机、电热水器、普通照明用双端荧光灯、A020910 电视设备、A020911 视频设备、A060805 便器、A060806 水嘴）必须采用节能清单中产品，磋商响应文件中应提供节能产品、环境标志产品认证证书或中国政府采购网（www.ccgp.gov.cn）的认证截图，否则其投标将被否决。</w:t>
      </w:r>
    </w:p>
    <w:p>
      <w:pPr>
        <w:snapToGrid w:val="0"/>
        <w:spacing w:line="360" w:lineRule="auto"/>
        <w:ind w:firstLine="461" w:firstLineChars="218"/>
        <w:rPr>
          <w:rFonts w:hint="eastAsia" w:ascii="宋体" w:hAnsi="宋体" w:cs="宋体"/>
          <w:szCs w:val="21"/>
        </w:rPr>
      </w:pPr>
      <w:r>
        <w:rPr>
          <w:rFonts w:hint="eastAsia" w:ascii="宋体" w:hAnsi="宋体" w:cs="宋体"/>
          <w:szCs w:val="21"/>
        </w:rPr>
        <w:t>B</w:t>
      </w:r>
      <w:r>
        <w:rPr>
          <w:rFonts w:hint="eastAsia" w:ascii="宋体" w:hAnsi="宋体" w:cs="宋体"/>
          <w:szCs w:val="21"/>
          <w:lang w:eastAsia="zh-CN"/>
        </w:rPr>
        <w:t>、</w:t>
      </w:r>
      <w:r>
        <w:rPr>
          <w:rFonts w:hint="eastAsia" w:ascii="宋体" w:hAnsi="宋体" w:cs="宋体"/>
          <w:szCs w:val="21"/>
        </w:rPr>
        <w:t>根据《关于印发环境标志产品政府采购品目清单的通知》(财库〔2019〕18号)文件规定。投标产品属于清单中品目的，在性能、技术、服务等指标同等、报价相同的条件下，优先采购清单中的产品。</w:t>
      </w:r>
    </w:p>
    <w:p>
      <w:pPr>
        <w:snapToGrid w:val="0"/>
        <w:spacing w:line="360" w:lineRule="auto"/>
        <w:ind w:firstLine="461" w:firstLineChars="218"/>
        <w:rPr>
          <w:rFonts w:hint="eastAsia" w:ascii="宋体" w:hAnsi="宋体" w:cs="宋体"/>
          <w:szCs w:val="21"/>
          <w:highlight w:val="none"/>
        </w:rPr>
      </w:pPr>
      <w:r>
        <w:rPr>
          <w:rFonts w:hint="eastAsia" w:ascii="宋体" w:hAnsi="宋体" w:cs="宋体"/>
          <w:szCs w:val="21"/>
        </w:rPr>
        <w:t>C、根据财库［2011］181号文件规定，非专门面向中小企业的项目，对小型和微型企业产品的最后报价给予</w:t>
      </w:r>
      <w:r>
        <w:rPr>
          <w:rFonts w:hint="eastAsia" w:ascii="宋体" w:hAnsi="宋体" w:cs="宋体"/>
          <w:szCs w:val="21"/>
          <w:highlight w:val="none"/>
          <w:lang w:val="en-US" w:eastAsia="zh-CN"/>
        </w:rPr>
        <w:t>6</w:t>
      </w:r>
      <w:r>
        <w:rPr>
          <w:rFonts w:hint="eastAsia" w:ascii="宋体" w:hAnsi="宋体" w:cs="宋体"/>
          <w:szCs w:val="21"/>
          <w:highlight w:val="none"/>
        </w:rPr>
        <w:t>%的扣除，用扣除后的价格参与评审。</w:t>
      </w:r>
    </w:p>
    <w:p>
      <w:pPr>
        <w:snapToGrid w:val="0"/>
        <w:spacing w:line="360" w:lineRule="auto"/>
        <w:ind w:firstLine="461"/>
        <w:rPr>
          <w:rFonts w:hint="eastAsia" w:ascii="宋体"/>
          <w:highlight w:val="none"/>
        </w:rPr>
      </w:pPr>
      <w:r>
        <w:rPr>
          <w:rFonts w:hint="eastAsia" w:ascii="宋体"/>
          <w:highlight w:val="none"/>
        </w:rPr>
        <w:t>D、根据财政部发布的《关于政府采购支持监狱企业发展有关问题的通知》规定，对监狱企业产品的价格给予</w:t>
      </w:r>
      <w:r>
        <w:rPr>
          <w:rFonts w:hint="eastAsia" w:ascii="宋体"/>
          <w:highlight w:val="none"/>
          <w:lang w:val="en-US" w:eastAsia="zh-CN"/>
        </w:rPr>
        <w:t>6</w:t>
      </w:r>
      <w:r>
        <w:rPr>
          <w:rFonts w:hint="eastAsia" w:ascii="宋体"/>
          <w:highlight w:val="none"/>
        </w:rPr>
        <w:t>%的扣除。</w:t>
      </w:r>
    </w:p>
    <w:p>
      <w:pPr>
        <w:snapToGrid w:val="0"/>
        <w:spacing w:line="360" w:lineRule="auto"/>
        <w:ind w:firstLine="461"/>
        <w:rPr>
          <w:rFonts w:hint="eastAsia" w:ascii="宋体"/>
          <w:highlight w:val="none"/>
        </w:rPr>
      </w:pPr>
      <w:r>
        <w:rPr>
          <w:rFonts w:hint="eastAsia" w:ascii="宋体"/>
          <w:highlight w:val="none"/>
        </w:rPr>
        <w:t>E、根据财政部发布的《关于促进残疾人就业政府采购政策的通知》规定，对残疾人福利性单位产品的价格给予</w:t>
      </w:r>
      <w:r>
        <w:rPr>
          <w:rFonts w:hint="eastAsia" w:ascii="宋体"/>
          <w:highlight w:val="none"/>
          <w:lang w:val="en-US" w:eastAsia="zh-CN"/>
        </w:rPr>
        <w:t>6</w:t>
      </w:r>
      <w:r>
        <w:rPr>
          <w:rFonts w:hint="eastAsia" w:ascii="宋体"/>
          <w:highlight w:val="none"/>
        </w:rPr>
        <w:t>%的扣除。</w:t>
      </w:r>
    </w:p>
    <w:p>
      <w:pPr>
        <w:snapToGrid w:val="0"/>
        <w:spacing w:line="360" w:lineRule="auto"/>
        <w:ind w:firstLine="461"/>
        <w:rPr>
          <w:rFonts w:hint="eastAsia" w:ascii="宋体"/>
        </w:rPr>
      </w:pPr>
      <w:r>
        <w:rPr>
          <w:rFonts w:hint="eastAsia" w:ascii="宋体"/>
        </w:rPr>
        <w:t>注：★采购人所采购的产品属于国家有关安全、节能、环保等强制性标准，供应商所投产品必须同时满足强制标准和本项目采购要求。</w:t>
      </w:r>
    </w:p>
    <w:p>
      <w:pPr>
        <w:numPr>
          <w:ilvl w:val="0"/>
          <w:numId w:val="0"/>
        </w:numPr>
        <w:snapToGrid w:val="0"/>
        <w:spacing w:line="360" w:lineRule="auto"/>
        <w:ind w:firstLine="424" w:firstLineChars="200"/>
        <w:rPr>
          <w:rFonts w:hint="eastAsia" w:ascii="宋体" w:hAnsi="宋体" w:eastAsia="宋体" w:cs="宋体"/>
          <w:sz w:val="21"/>
          <w:szCs w:val="21"/>
          <w:highlight w:val="none"/>
        </w:rPr>
      </w:pPr>
      <w:r>
        <w:rPr>
          <w:rFonts w:hint="eastAsia" w:ascii="宋体"/>
          <w:lang w:val="en-US" w:eastAsia="zh-CN"/>
        </w:rPr>
        <w:t>4、</w:t>
      </w:r>
      <w:r>
        <w:rPr>
          <w:rFonts w:hint="eastAsia" w:ascii="宋体"/>
        </w:rPr>
        <w:t>小微企业以供应商填写的《中小企业声明函》为判定标准，残疾人福利性单位以供应商填写的《残疾人福利性单位声明函》为判定标准，监狱企业须提供由省级以上监狱管理局、戒毒管理局（含新疆生产建设兵团）出具的属于监狱企业的证明文件，否则不予认定。以上政策不重复享受。</w:t>
      </w:r>
    </w:p>
    <w:p>
      <w:pPr>
        <w:numPr>
          <w:ilvl w:val="0"/>
          <w:numId w:val="0"/>
        </w:numPr>
        <w:snapToGrid w:val="0"/>
        <w:spacing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磋商小组认为，排在前面的成交候选供应商最后报价或者某些分项报价明显不合理，有可能影响产品质量或不能诚信履约的，应当要求其在规定时间内提供书面文件予以解释说明，并提供相关证明材料；否则，磋商小组可以取消该供应商的成交候选供应商资格。</w:t>
      </w:r>
      <w:r>
        <w:rPr>
          <w:rFonts w:hint="eastAsia" w:ascii="宋体" w:hAnsi="宋体" w:eastAsia="宋体" w:cs="宋体"/>
          <w:b/>
          <w:sz w:val="21"/>
          <w:szCs w:val="21"/>
          <w:highlight w:val="none"/>
        </w:rPr>
        <w:br w:type="page"/>
      </w:r>
    </w:p>
    <w:p>
      <w:pPr>
        <w:snapToGrid w:val="0"/>
        <w:spacing w:line="360" w:lineRule="auto"/>
        <w:ind w:firstLine="424" w:firstLineChars="200"/>
        <w:jc w:val="center"/>
        <w:rPr>
          <w:rFonts w:hint="eastAsia" w:ascii="宋体" w:hAnsi="宋体" w:eastAsia="宋体" w:cs="宋体"/>
          <w:b/>
          <w:sz w:val="21"/>
          <w:szCs w:val="21"/>
          <w:highlight w:val="none"/>
        </w:rPr>
      </w:pPr>
    </w:p>
    <w:p>
      <w:pPr>
        <w:snapToGrid w:val="0"/>
        <w:spacing w:line="360" w:lineRule="auto"/>
        <w:ind w:firstLine="604" w:firstLineChars="20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评分标准和评分细则</w:t>
      </w:r>
    </w:p>
    <w:tbl>
      <w:tblPr>
        <w:tblStyle w:val="19"/>
        <w:tblW w:w="7988" w:type="dxa"/>
        <w:jc w:val="center"/>
        <w:tblLayout w:type="fixed"/>
        <w:tblCellMar>
          <w:top w:w="15" w:type="dxa"/>
          <w:left w:w="15" w:type="dxa"/>
          <w:bottom w:w="15" w:type="dxa"/>
          <w:right w:w="15" w:type="dxa"/>
        </w:tblCellMar>
      </w:tblPr>
      <w:tblGrid>
        <w:gridCol w:w="837"/>
        <w:gridCol w:w="1198"/>
        <w:gridCol w:w="909"/>
        <w:gridCol w:w="5044"/>
      </w:tblGrid>
      <w:tr>
        <w:tblPrEx>
          <w:tblCellMar>
            <w:top w:w="15" w:type="dxa"/>
            <w:left w:w="15" w:type="dxa"/>
            <w:bottom w:w="15" w:type="dxa"/>
            <w:right w:w="15" w:type="dxa"/>
          </w:tblCellMar>
        </w:tblPrEx>
        <w:trPr>
          <w:trHeight w:val="495"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序号</w:t>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评审项目</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标准分值</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分</w:t>
            </w:r>
            <w:r>
              <w:rPr>
                <w:rFonts w:hint="eastAsia" w:ascii="宋体" w:hAnsi="宋体" w:eastAsia="宋体" w:cs="宋体"/>
                <w:b/>
                <w:bCs/>
                <w:kern w:val="0"/>
                <w:sz w:val="21"/>
                <w:szCs w:val="21"/>
                <w:lang w:eastAsia="zh-CN"/>
              </w:rPr>
              <w:t>）</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评分细则</w:t>
            </w:r>
          </w:p>
        </w:tc>
      </w:tr>
      <w:tr>
        <w:tblPrEx>
          <w:tblCellMar>
            <w:top w:w="15" w:type="dxa"/>
            <w:left w:w="15" w:type="dxa"/>
            <w:bottom w:w="15" w:type="dxa"/>
            <w:right w:w="15" w:type="dxa"/>
          </w:tblCellMar>
        </w:tblPrEx>
        <w:trPr>
          <w:trHeight w:val="506"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一</w:t>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spacing w:val="-10"/>
                <w:kern w:val="0"/>
                <w:sz w:val="21"/>
                <w:szCs w:val="21"/>
              </w:rPr>
              <w:t>商务部分</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1"/>
                <w:szCs w:val="21"/>
                <w:lang w:val="en-US" w:eastAsia="zh-CN"/>
              </w:rPr>
              <w:t>7</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eastAsia="宋体" w:cs="宋体"/>
                <w:spacing w:val="-10"/>
                <w:kern w:val="0"/>
                <w:sz w:val="24"/>
                <w:szCs w:val="24"/>
              </w:rPr>
            </w:pPr>
          </w:p>
        </w:tc>
      </w:tr>
      <w:tr>
        <w:tblPrEx>
          <w:tblCellMar>
            <w:top w:w="15" w:type="dxa"/>
            <w:left w:w="15" w:type="dxa"/>
            <w:bottom w:w="15" w:type="dxa"/>
            <w:right w:w="15" w:type="dxa"/>
          </w:tblCellMar>
        </w:tblPrEx>
        <w:trPr>
          <w:trHeight w:val="1368"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文件编制</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eastAsia="宋体" w:cs="宋体"/>
                <w:sz w:val="21"/>
                <w:szCs w:val="21"/>
              </w:rPr>
            </w:pPr>
            <w:r>
              <w:rPr>
                <w:rFonts w:hint="eastAsia" w:ascii="宋体" w:hAnsi="宋体" w:cs="微软雅黑"/>
                <w:kern w:val="0"/>
                <w:shd w:val="clear" w:color="auto" w:fill="FFFFFF"/>
              </w:rPr>
              <w:t>1）</w:t>
            </w:r>
            <w:r>
              <w:rPr>
                <w:rFonts w:hint="eastAsia" w:ascii="宋体" w:hAnsi="宋体" w:eastAsia="宋体" w:cs="宋体"/>
                <w:spacing w:val="-10"/>
                <w:kern w:val="0"/>
                <w:sz w:val="21"/>
                <w:szCs w:val="21"/>
              </w:rPr>
              <w:t>磋商文件编制完整</w:t>
            </w:r>
            <w:r>
              <w:rPr>
                <w:rFonts w:hint="eastAsia" w:ascii="宋体" w:hAnsi="宋体" w:eastAsia="宋体" w:cs="宋体"/>
                <w:spacing w:val="-10"/>
                <w:kern w:val="0"/>
                <w:sz w:val="21"/>
                <w:szCs w:val="21"/>
                <w:lang w:eastAsia="zh-CN"/>
              </w:rPr>
              <w:t>，</w:t>
            </w:r>
            <w:r>
              <w:rPr>
                <w:rFonts w:hint="eastAsia" w:ascii="宋体" w:hAnsi="宋体" w:eastAsia="宋体" w:cs="宋体"/>
                <w:spacing w:val="-10"/>
                <w:kern w:val="0"/>
                <w:sz w:val="21"/>
                <w:szCs w:val="21"/>
              </w:rPr>
              <w:t>有目录(目录对应页码）</w:t>
            </w:r>
            <w:r>
              <w:rPr>
                <w:rFonts w:hint="eastAsia" w:ascii="宋体" w:hAnsi="宋体" w:eastAsia="宋体" w:cs="宋体"/>
                <w:spacing w:val="-10"/>
                <w:kern w:val="0"/>
                <w:sz w:val="21"/>
                <w:szCs w:val="21"/>
                <w:lang w:eastAsia="zh-CN"/>
              </w:rPr>
              <w:t>，</w:t>
            </w:r>
            <w:r>
              <w:rPr>
                <w:rFonts w:hint="eastAsia" w:ascii="宋体" w:hAnsi="宋体" w:eastAsia="宋体" w:cs="宋体"/>
                <w:spacing w:val="-10"/>
                <w:kern w:val="0"/>
                <w:sz w:val="21"/>
                <w:szCs w:val="21"/>
              </w:rPr>
              <w:t>总体编排有序</w:t>
            </w:r>
            <w:r>
              <w:rPr>
                <w:rFonts w:hint="eastAsia" w:ascii="宋体" w:hAnsi="宋体" w:eastAsia="宋体" w:cs="宋体"/>
                <w:spacing w:val="-10"/>
                <w:kern w:val="0"/>
                <w:sz w:val="21"/>
                <w:szCs w:val="21"/>
                <w:lang w:val="en-US" w:eastAsia="zh-CN"/>
              </w:rPr>
              <w:t>、</w:t>
            </w:r>
            <w:r>
              <w:rPr>
                <w:rFonts w:hint="eastAsia" w:ascii="宋体" w:hAnsi="宋体" w:eastAsia="宋体" w:cs="宋体"/>
                <w:spacing w:val="-10"/>
                <w:kern w:val="0"/>
                <w:sz w:val="21"/>
                <w:szCs w:val="21"/>
              </w:rPr>
              <w:t>格式规范</w:t>
            </w:r>
            <w:r>
              <w:rPr>
                <w:rFonts w:hint="eastAsia" w:ascii="宋体" w:hAnsi="宋体" w:eastAsia="宋体" w:cs="宋体"/>
                <w:spacing w:val="-10"/>
                <w:kern w:val="0"/>
                <w:sz w:val="21"/>
                <w:szCs w:val="21"/>
                <w:lang w:val="en-US" w:eastAsia="zh-CN"/>
              </w:rPr>
              <w:t>,</w:t>
            </w:r>
            <w:r>
              <w:rPr>
                <w:rFonts w:hint="eastAsia" w:ascii="宋体" w:hAnsi="宋体" w:eastAsia="宋体" w:cs="宋体"/>
                <w:spacing w:val="-10"/>
                <w:kern w:val="0"/>
                <w:sz w:val="21"/>
                <w:szCs w:val="21"/>
              </w:rPr>
              <w:t>装订整齐</w:t>
            </w:r>
            <w:r>
              <w:rPr>
                <w:rFonts w:hint="eastAsia" w:ascii="宋体" w:hAnsi="宋体" w:eastAsia="宋体" w:cs="宋体"/>
                <w:spacing w:val="-10"/>
                <w:kern w:val="0"/>
                <w:sz w:val="21"/>
                <w:szCs w:val="21"/>
                <w:lang w:eastAsia="zh-CN"/>
              </w:rPr>
              <w:t>、</w:t>
            </w:r>
            <w:r>
              <w:rPr>
                <w:rFonts w:hint="eastAsia" w:ascii="宋体" w:hAnsi="宋体" w:eastAsia="宋体" w:cs="宋体"/>
                <w:spacing w:val="-10"/>
                <w:kern w:val="0"/>
                <w:sz w:val="21"/>
                <w:szCs w:val="21"/>
              </w:rPr>
              <w:t>页码连续清晰，得</w:t>
            </w:r>
            <w:r>
              <w:rPr>
                <w:rFonts w:hint="eastAsia" w:ascii="宋体" w:hAnsi="宋体" w:eastAsia="宋体" w:cs="宋体"/>
                <w:spacing w:val="-10"/>
                <w:kern w:val="0"/>
                <w:sz w:val="21"/>
                <w:szCs w:val="21"/>
                <w:lang w:val="en-US" w:eastAsia="zh-CN"/>
              </w:rPr>
              <w:t>4</w:t>
            </w:r>
            <w:r>
              <w:rPr>
                <w:rFonts w:hint="eastAsia" w:ascii="宋体" w:hAnsi="宋体" w:eastAsia="宋体" w:cs="宋体"/>
                <w:spacing w:val="-10"/>
                <w:kern w:val="0"/>
                <w:sz w:val="21"/>
                <w:szCs w:val="21"/>
              </w:rPr>
              <w:t>分；每有一项不符合要求的扣</w:t>
            </w:r>
            <w:r>
              <w:rPr>
                <w:rFonts w:hint="eastAsia" w:ascii="宋体" w:hAnsi="宋体" w:eastAsia="宋体" w:cs="宋体"/>
                <w:spacing w:val="-10"/>
                <w:kern w:val="0"/>
                <w:sz w:val="21"/>
                <w:szCs w:val="21"/>
                <w:lang w:val="en-US" w:eastAsia="zh-CN"/>
              </w:rPr>
              <w:t>1</w:t>
            </w:r>
            <w:r>
              <w:rPr>
                <w:rFonts w:hint="eastAsia" w:ascii="宋体" w:hAnsi="宋体" w:eastAsia="宋体" w:cs="宋体"/>
                <w:spacing w:val="-10"/>
                <w:kern w:val="0"/>
                <w:sz w:val="21"/>
                <w:szCs w:val="21"/>
              </w:rPr>
              <w:t>分，扣完为止；响应文件有关内容前后矛盾、与磋商文件要求不一致等，磋商小组允许且需要通过磋商等程序进行澄清的，该项不得分。</w:t>
            </w:r>
          </w:p>
        </w:tc>
      </w:tr>
      <w:tr>
        <w:tblPrEx>
          <w:tblCellMar>
            <w:top w:w="15" w:type="dxa"/>
            <w:left w:w="15" w:type="dxa"/>
            <w:bottom w:w="15" w:type="dxa"/>
            <w:right w:w="15" w:type="dxa"/>
          </w:tblCellMar>
        </w:tblPrEx>
        <w:trPr>
          <w:trHeight w:val="595"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产品供货渠道</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highlight w:val="none"/>
                <w:lang w:val="en-US" w:eastAsia="zh-CN"/>
              </w:rPr>
              <w:t>3</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2"/>
              <w:numPr>
                <w:ilvl w:val="0"/>
                <w:numId w:val="0"/>
              </w:numPr>
              <w:ind w:left="0" w:leftChars="0" w:firstLine="0" w:firstLineChars="0"/>
              <w:rPr>
                <w:rFonts w:hint="default" w:ascii="宋体" w:hAnsi="宋体" w:eastAsia="宋体" w:cs="宋体"/>
                <w:spacing w:val="-10"/>
                <w:kern w:val="0"/>
                <w:sz w:val="21"/>
                <w:szCs w:val="21"/>
                <w:lang w:val="en-US" w:eastAsia="zh-CN"/>
              </w:rPr>
            </w:pPr>
            <w:r>
              <w:rPr>
                <w:rFonts w:hint="eastAsia" w:ascii="宋体" w:hAnsi="宋体" w:cs="微软雅黑"/>
                <w:kern w:val="0"/>
                <w:shd w:val="clear" w:color="auto" w:fill="FFFFFF"/>
              </w:rPr>
              <w:t>1）</w:t>
            </w:r>
            <w:r>
              <w:rPr>
                <w:rFonts w:hint="eastAsia" w:ascii="宋体" w:hAnsi="宋体" w:eastAsia="宋体" w:cs="宋体"/>
                <w:kern w:val="2"/>
                <w:sz w:val="21"/>
                <w:szCs w:val="21"/>
                <w:highlight w:val="none"/>
                <w:lang w:val="en-US" w:eastAsia="zh-CN" w:bidi="ar-SA"/>
              </w:rPr>
              <w:t>产品供货渠道正规，有质量保证，确保生产供应的货物无假货、水货、翻新货且无产权纠纷提供所投产品（</w:t>
            </w:r>
            <w:r>
              <w:rPr>
                <w:rFonts w:hint="eastAsia" w:ascii="宋体" w:hAnsi="宋体" w:eastAsia="宋体" w:cs="宋体"/>
                <w:spacing w:val="-10"/>
                <w:kern w:val="0"/>
                <w:sz w:val="21"/>
                <w:szCs w:val="21"/>
                <w:highlight w:val="none"/>
                <w:lang w:val="en-US" w:eastAsia="zh-CN"/>
              </w:rPr>
              <w:t>篮球架、移动式足球门等</w:t>
            </w:r>
            <w:r>
              <w:rPr>
                <w:rFonts w:hint="eastAsia" w:ascii="宋体" w:hAnsi="宋体" w:eastAsia="宋体" w:cs="宋体"/>
                <w:kern w:val="2"/>
                <w:sz w:val="21"/>
                <w:szCs w:val="21"/>
                <w:highlight w:val="none"/>
                <w:lang w:val="en-US" w:eastAsia="zh-CN" w:bidi="ar-SA"/>
              </w:rPr>
              <w:t>）的合法来源渠道证明文件的得3</w:t>
            </w:r>
            <w:bookmarkStart w:id="69" w:name="_GoBack"/>
            <w:bookmarkEnd w:id="69"/>
            <w:r>
              <w:rPr>
                <w:rFonts w:hint="eastAsia" w:ascii="宋体" w:hAnsi="宋体" w:eastAsia="宋体" w:cs="宋体"/>
                <w:kern w:val="2"/>
                <w:sz w:val="21"/>
                <w:szCs w:val="21"/>
                <w:highlight w:val="none"/>
                <w:lang w:val="en-US" w:eastAsia="zh-CN" w:bidi="ar-SA"/>
              </w:rPr>
              <w:t>分，未提供合法来源渠道证明文件不得分。</w:t>
            </w:r>
          </w:p>
        </w:tc>
      </w:tr>
      <w:tr>
        <w:tblPrEx>
          <w:tblCellMar>
            <w:top w:w="15" w:type="dxa"/>
            <w:left w:w="15" w:type="dxa"/>
            <w:bottom w:w="15" w:type="dxa"/>
            <w:right w:w="15" w:type="dxa"/>
          </w:tblCellMar>
        </w:tblPrEx>
        <w:trPr>
          <w:trHeight w:val="705"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二</w:t>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技术部分</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default" w:ascii="宋体" w:hAnsi="宋体" w:eastAsia="宋体" w:cs="宋体"/>
                <w:spacing w:val="-10"/>
                <w:kern w:val="0"/>
                <w:sz w:val="21"/>
                <w:szCs w:val="21"/>
                <w:lang w:val="en-US" w:eastAsia="zh-CN"/>
              </w:rPr>
            </w:pPr>
          </w:p>
        </w:tc>
      </w:tr>
      <w:tr>
        <w:tblPrEx>
          <w:tblCellMar>
            <w:top w:w="15" w:type="dxa"/>
            <w:left w:w="15" w:type="dxa"/>
            <w:bottom w:w="15" w:type="dxa"/>
            <w:right w:w="15" w:type="dxa"/>
          </w:tblCellMar>
        </w:tblPrEx>
        <w:trPr>
          <w:trHeight w:val="2805" w:hRule="atLeast"/>
          <w:jc w:val="center"/>
        </w:trPr>
        <w:tc>
          <w:tcPr>
            <w:tcW w:w="837" w:type="dxa"/>
            <w:tcBorders>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198" w:type="dxa"/>
            <w:tcBorders>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技术指标</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numPr>
                <w:ilvl w:val="0"/>
                <w:numId w:val="1"/>
              </w:numPr>
              <w:snapToGrid w:val="0"/>
              <w:spacing w:line="360" w:lineRule="exact"/>
              <w:rPr>
                <w:rFonts w:hint="eastAsia"/>
                <w:lang w:val="en-US" w:eastAsia="zh-CN"/>
              </w:rPr>
            </w:pPr>
            <w:r>
              <w:rPr>
                <w:rFonts w:hint="eastAsia"/>
                <w:lang w:val="en-US" w:eastAsia="zh-CN"/>
              </w:rPr>
              <w:t>技术偏离表中“响应文件响应情况”应如实填写，并与“货物清单及技术参数或服务要求”一一对应，全部满足或高于磋商文件要求，得30分；</w:t>
            </w:r>
          </w:p>
          <w:p>
            <w:pPr>
              <w:numPr>
                <w:ilvl w:val="0"/>
                <w:numId w:val="0"/>
              </w:numPr>
              <w:snapToGrid w:val="0"/>
              <w:spacing w:line="360" w:lineRule="exact"/>
              <w:rPr>
                <w:rFonts w:hint="eastAsia"/>
                <w:lang w:val="en-US" w:eastAsia="zh-CN"/>
              </w:rPr>
            </w:pPr>
            <w:r>
              <w:rPr>
                <w:rFonts w:hint="eastAsia"/>
                <w:lang w:val="en-US" w:eastAsia="zh-CN"/>
              </w:rPr>
              <w:t>供应商所投产品的一般技术指标、参数（非▲项）低于或无法满足磋商文件规定的相应技术指标或参数的，每一项负偏离减3分，扣完为止。</w:t>
            </w:r>
          </w:p>
          <w:p>
            <w:pPr>
              <w:numPr>
                <w:ilvl w:val="0"/>
                <w:numId w:val="0"/>
              </w:numPr>
              <w:snapToGrid w:val="0"/>
              <w:spacing w:line="360" w:lineRule="exact"/>
              <w:rPr>
                <w:rFonts w:hint="eastAsia"/>
                <w:lang w:val="en-US" w:eastAsia="zh-CN"/>
              </w:rPr>
            </w:pPr>
            <w:r>
              <w:rPr>
                <w:rFonts w:hint="eastAsia"/>
                <w:lang w:val="en-US" w:eastAsia="zh-CN"/>
              </w:rPr>
              <w:t>供应商所投产品的重要技术指标、参数（▲项）低于或无法满足磋商文件规定的相应技术指标或参数的，每一项负偏离减6分，扣完为止。</w:t>
            </w:r>
          </w:p>
          <w:p>
            <w:pPr>
              <w:pStyle w:val="2"/>
              <w:ind w:left="0" w:leftChars="0" w:firstLine="0" w:firstLineChars="0"/>
              <w:rPr>
                <w:rFonts w:hint="default"/>
                <w:lang w:val="en-US"/>
              </w:rPr>
            </w:pPr>
            <w:r>
              <w:rPr>
                <w:rFonts w:hint="eastAsia"/>
                <w:lang w:val="en-US" w:eastAsia="zh-CN"/>
              </w:rPr>
              <w:t>供应商所投产品的重要技术指标、参数（</w:t>
            </w:r>
            <w:r>
              <w:rPr>
                <w:rFonts w:hint="eastAsia" w:ascii="宋体" w:hAnsi="宋体" w:eastAsia="宋体" w:cs="宋体"/>
                <w:b/>
                <w:bCs/>
                <w:sz w:val="21"/>
                <w:szCs w:val="21"/>
                <w:lang w:val="en-US" w:eastAsia="zh-CN"/>
              </w:rPr>
              <w:t>■</w:t>
            </w:r>
            <w:r>
              <w:rPr>
                <w:rFonts w:hint="eastAsia" w:ascii="宋体" w:hAnsi="宋体" w:eastAsia="宋体" w:cs="宋体"/>
                <w:b w:val="0"/>
                <w:bCs w:val="0"/>
                <w:sz w:val="21"/>
                <w:szCs w:val="21"/>
                <w:lang w:val="en-US" w:eastAsia="zh-CN"/>
              </w:rPr>
              <w:t>项</w:t>
            </w:r>
            <w:r>
              <w:rPr>
                <w:rFonts w:hint="eastAsia"/>
                <w:lang w:val="en-US" w:eastAsia="zh-CN"/>
              </w:rPr>
              <w:t>）低于或无法满足磋商文件规定的相应技术指标或参数的，此打分项不得分。</w:t>
            </w:r>
          </w:p>
        </w:tc>
      </w:tr>
      <w:tr>
        <w:tblPrEx>
          <w:tblCellMar>
            <w:top w:w="15" w:type="dxa"/>
            <w:left w:w="15" w:type="dxa"/>
            <w:bottom w:w="15" w:type="dxa"/>
            <w:right w:w="15" w:type="dxa"/>
          </w:tblCellMar>
        </w:tblPrEx>
        <w:trPr>
          <w:trHeight w:val="789" w:hRule="atLeast"/>
          <w:jc w:val="center"/>
        </w:trPr>
        <w:tc>
          <w:tcPr>
            <w:tcW w:w="837"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rPr>
            </w:pPr>
          </w:p>
          <w:p>
            <w:pPr>
              <w:widowControl/>
              <w:jc w:val="center"/>
              <w:textAlignment w:val="center"/>
              <w:rPr>
                <w:rFonts w:hint="eastAsia" w:ascii="宋体" w:hAnsi="宋体" w:eastAsia="宋体" w:cs="宋体"/>
                <w:sz w:val="24"/>
                <w:szCs w:val="24"/>
              </w:rPr>
            </w:pPr>
          </w:p>
          <w:p>
            <w:pPr>
              <w:widowControl/>
              <w:jc w:val="center"/>
              <w:textAlignment w:val="center"/>
              <w:rPr>
                <w:rFonts w:hint="eastAsia" w:ascii="宋体" w:hAnsi="宋体" w:eastAsia="宋体" w:cs="宋体"/>
                <w:sz w:val="24"/>
                <w:szCs w:val="24"/>
              </w:rPr>
            </w:pPr>
          </w:p>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p>
            <w:pPr>
              <w:widowControl/>
              <w:jc w:val="center"/>
              <w:textAlignment w:val="center"/>
              <w:rPr>
                <w:rFonts w:hint="eastAsia" w:ascii="宋体" w:hAnsi="宋体" w:eastAsia="宋体" w:cs="宋体"/>
                <w:sz w:val="24"/>
                <w:szCs w:val="24"/>
              </w:rPr>
            </w:pPr>
          </w:p>
          <w:p>
            <w:pPr>
              <w:widowControl/>
              <w:jc w:val="center"/>
              <w:textAlignment w:val="center"/>
              <w:rPr>
                <w:rFonts w:hint="eastAsia" w:ascii="宋体" w:hAnsi="宋体" w:eastAsia="宋体" w:cs="宋体"/>
                <w:sz w:val="24"/>
                <w:szCs w:val="24"/>
              </w:rPr>
            </w:pPr>
          </w:p>
        </w:tc>
        <w:tc>
          <w:tcPr>
            <w:tcW w:w="1198"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rPr>
            </w:pPr>
          </w:p>
          <w:p>
            <w:pPr>
              <w:widowControl/>
              <w:textAlignment w:val="center"/>
              <w:rPr>
                <w:rFonts w:hint="eastAsia" w:ascii="宋体" w:hAnsi="宋体" w:eastAsia="宋体" w:cs="宋体"/>
                <w:sz w:val="21"/>
                <w:szCs w:val="21"/>
              </w:rPr>
            </w:pPr>
            <w:r>
              <w:rPr>
                <w:rFonts w:hint="eastAsia" w:ascii="宋体" w:hAnsi="宋体" w:eastAsia="宋体" w:cs="宋体"/>
                <w:kern w:val="0"/>
                <w:sz w:val="21"/>
                <w:szCs w:val="21"/>
              </w:rPr>
              <w:t>技术服务方案</w:t>
            </w:r>
          </w:p>
        </w:tc>
        <w:tc>
          <w:tcPr>
            <w:tcW w:w="909"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28"/>
                <w:sz w:val="21"/>
                <w:szCs w:val="21"/>
              </w:rPr>
              <w:t>提供详细的技术服务方案，从保证供货措施</w:t>
            </w:r>
            <w:r>
              <w:rPr>
                <w:rFonts w:hint="eastAsia" w:ascii="宋体" w:hAnsi="宋体" w:eastAsia="宋体" w:cs="宋体"/>
                <w:kern w:val="28"/>
                <w:sz w:val="21"/>
                <w:szCs w:val="21"/>
                <w:lang w:eastAsia="zh-CN"/>
              </w:rPr>
              <w:t>，</w:t>
            </w:r>
            <w:r>
              <w:rPr>
                <w:rFonts w:hint="eastAsia" w:ascii="宋体" w:hAnsi="宋体" w:eastAsia="宋体" w:cs="宋体"/>
                <w:kern w:val="28"/>
                <w:sz w:val="21"/>
                <w:szCs w:val="21"/>
              </w:rPr>
              <w:t>安装</w:t>
            </w:r>
            <w:r>
              <w:rPr>
                <w:rFonts w:hint="eastAsia" w:ascii="宋体" w:hAnsi="宋体" w:eastAsia="宋体" w:cs="宋体"/>
                <w:kern w:val="28"/>
                <w:sz w:val="21"/>
                <w:szCs w:val="21"/>
                <w:lang w:eastAsia="zh-CN"/>
              </w:rPr>
              <w:t>及调试</w:t>
            </w:r>
            <w:r>
              <w:rPr>
                <w:rFonts w:hint="eastAsia" w:ascii="宋体" w:hAnsi="宋体" w:eastAsia="宋体" w:cs="宋体"/>
                <w:kern w:val="28"/>
                <w:sz w:val="21"/>
                <w:szCs w:val="21"/>
              </w:rPr>
              <w:t>、</w:t>
            </w:r>
            <w:r>
              <w:rPr>
                <w:rFonts w:hint="eastAsia" w:ascii="宋体" w:hAnsi="宋体" w:eastAsia="宋体" w:cs="宋体"/>
                <w:kern w:val="28"/>
                <w:sz w:val="21"/>
                <w:szCs w:val="21"/>
                <w:lang w:val="en-US" w:eastAsia="zh-CN"/>
              </w:rPr>
              <w:t>废物清理外运、原有设施保护方案四</w:t>
            </w:r>
            <w:r>
              <w:rPr>
                <w:rFonts w:hint="eastAsia" w:ascii="宋体" w:hAnsi="宋体" w:eastAsia="宋体" w:cs="宋体"/>
                <w:kern w:val="28"/>
                <w:sz w:val="21"/>
                <w:szCs w:val="21"/>
              </w:rPr>
              <w:t>个方面进行详细阐述：</w:t>
            </w:r>
          </w:p>
        </w:tc>
      </w:tr>
      <w:tr>
        <w:tblPrEx>
          <w:tblCellMar>
            <w:top w:w="15" w:type="dxa"/>
            <w:left w:w="15" w:type="dxa"/>
            <w:bottom w:w="15" w:type="dxa"/>
            <w:right w:w="15" w:type="dxa"/>
          </w:tblCellMar>
        </w:tblPrEx>
        <w:trPr>
          <w:trHeight w:val="948" w:hRule="atLeast"/>
          <w:jc w:val="center"/>
        </w:trPr>
        <w:tc>
          <w:tcPr>
            <w:tcW w:w="837" w:type="dxa"/>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rPr>
            </w:pPr>
          </w:p>
        </w:tc>
        <w:tc>
          <w:tcPr>
            <w:tcW w:w="1198" w:type="dxa"/>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rPr>
            </w:pPr>
          </w:p>
        </w:tc>
        <w:tc>
          <w:tcPr>
            <w:tcW w:w="909" w:type="dxa"/>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rPr>
            </w:pP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360" w:lineRule="exact"/>
              <w:rPr>
                <w:rFonts w:hint="default" w:ascii="宋体" w:hAnsi="宋体" w:cs="微软雅黑" w:eastAsiaTheme="minorEastAsia"/>
                <w:kern w:val="0"/>
                <w:shd w:val="clear" w:color="auto" w:fill="FFFFFF"/>
                <w:lang w:val="en-US" w:eastAsia="zh-CN"/>
              </w:rPr>
            </w:pPr>
            <w:r>
              <w:rPr>
                <w:rFonts w:hint="eastAsia" w:ascii="宋体" w:hAnsi="宋体" w:cs="微软雅黑"/>
                <w:kern w:val="0"/>
                <w:shd w:val="clear" w:color="auto" w:fill="FFFFFF"/>
              </w:rPr>
              <w:t>1）视参与本项目磋商的供应商提供的设备保证供货措施进</w:t>
            </w:r>
            <w:r>
              <w:rPr>
                <w:rFonts w:hint="eastAsia" w:ascii="宋体" w:hAnsi="宋体" w:cs="微软雅黑"/>
                <w:kern w:val="0"/>
                <w:shd w:val="clear" w:color="auto" w:fill="FFFFFF"/>
                <w:lang w:val="en-US" w:eastAsia="zh-CN"/>
              </w:rPr>
              <w:t>方案</w:t>
            </w:r>
            <w:r>
              <w:rPr>
                <w:rFonts w:hint="eastAsia" w:ascii="宋体" w:hAnsi="宋体" w:cs="微软雅黑"/>
                <w:kern w:val="0"/>
                <w:shd w:val="clear" w:color="auto" w:fill="FFFFFF"/>
              </w:rPr>
              <w:t>行综合考评</w:t>
            </w:r>
            <w:r>
              <w:rPr>
                <w:rFonts w:hint="eastAsia" w:ascii="宋体" w:hAnsi="宋体" w:cs="微软雅黑"/>
                <w:kern w:val="0"/>
                <w:shd w:val="clear" w:color="auto" w:fill="FFFFFF"/>
                <w:lang w:eastAsia="zh-CN"/>
              </w:rPr>
              <w:t>，</w:t>
            </w:r>
            <w:r>
              <w:rPr>
                <w:rFonts w:hint="eastAsia" w:ascii="宋体" w:hAnsi="宋体" w:cs="微软雅黑"/>
                <w:kern w:val="0"/>
                <w:shd w:val="clear" w:color="auto" w:fill="FFFFFF"/>
                <w:lang w:val="en-US" w:eastAsia="zh-CN"/>
              </w:rPr>
              <w:t>满分3分。</w:t>
            </w:r>
          </w:p>
          <w:p>
            <w:pPr>
              <w:snapToGrid w:val="0"/>
              <w:spacing w:line="360" w:lineRule="exac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（1）合理可行的得</w:t>
            </w:r>
            <w:r>
              <w:rPr>
                <w:rFonts w:hint="eastAsia" w:ascii="宋体" w:hAnsi="宋体" w:eastAsia="宋体" w:cs="宋体"/>
                <w:kern w:val="0"/>
                <w:sz w:val="21"/>
                <w:szCs w:val="21"/>
                <w:shd w:val="clear" w:color="auto" w:fill="FFFFFF"/>
                <w:lang w:val="en-US" w:eastAsia="zh-CN"/>
              </w:rPr>
              <w:t>3</w:t>
            </w:r>
            <w:r>
              <w:rPr>
                <w:rFonts w:hint="eastAsia" w:ascii="宋体" w:hAnsi="宋体" w:eastAsia="宋体" w:cs="宋体"/>
                <w:kern w:val="0"/>
                <w:sz w:val="21"/>
                <w:szCs w:val="21"/>
                <w:shd w:val="clear" w:color="auto" w:fill="FFFFFF"/>
              </w:rPr>
              <w:t>分；</w:t>
            </w:r>
          </w:p>
          <w:p>
            <w:pPr>
              <w:pStyle w:val="2"/>
              <w:ind w:firstLine="0" w:firstLineChars="0"/>
              <w:rPr>
                <w:rFonts w:ascii="宋体" w:hAnsi="宋体" w:cs="微软雅黑"/>
                <w:kern w:val="0"/>
                <w:shd w:val="clear" w:color="auto" w:fill="FFFFFF"/>
              </w:rPr>
            </w:pPr>
            <w:r>
              <w:rPr>
                <w:rFonts w:hint="eastAsia" w:ascii="宋体" w:hAnsi="宋体" w:cs="微软雅黑"/>
                <w:kern w:val="0"/>
                <w:shd w:val="clear" w:color="auto" w:fill="FFFFFF"/>
              </w:rPr>
              <w:t>（2）有不合理</w:t>
            </w:r>
            <w:r>
              <w:rPr>
                <w:rFonts w:hint="eastAsia" w:ascii="宋体" w:hAnsi="宋体" w:cs="微软雅黑"/>
                <w:kern w:val="0"/>
                <w:shd w:val="clear" w:color="auto" w:fill="FFFFFF"/>
                <w:lang w:eastAsia="zh-CN"/>
              </w:rPr>
              <w:t>一</w:t>
            </w:r>
            <w:r>
              <w:rPr>
                <w:rFonts w:hint="eastAsia" w:ascii="宋体" w:hAnsi="宋体" w:cs="微软雅黑"/>
                <w:kern w:val="0"/>
                <w:shd w:val="clear" w:color="auto" w:fill="FFFFFF"/>
              </w:rPr>
              <w:t>处</w:t>
            </w:r>
            <w:r>
              <w:rPr>
                <w:rFonts w:hint="eastAsia" w:ascii="宋体" w:hAnsi="宋体" w:cs="微软雅黑"/>
                <w:kern w:val="0"/>
                <w:shd w:val="clear" w:color="auto" w:fill="FFFFFF"/>
                <w:lang w:eastAsia="zh-CN"/>
              </w:rPr>
              <w:t>及以上</w:t>
            </w:r>
            <w:r>
              <w:rPr>
                <w:rFonts w:hint="eastAsia" w:ascii="宋体" w:hAnsi="宋体" w:cs="微软雅黑"/>
                <w:kern w:val="0"/>
                <w:shd w:val="clear" w:color="auto" w:fill="FFFFFF"/>
              </w:rPr>
              <w:t>的，或缺乏针对性的</w:t>
            </w:r>
            <w:r>
              <w:rPr>
                <w:rFonts w:hint="eastAsia" w:ascii="宋体" w:hAnsi="宋体" w:cs="微软雅黑"/>
                <w:kern w:val="0"/>
                <w:shd w:val="clear" w:color="auto" w:fill="FFFFFF"/>
                <w:lang w:eastAsia="zh-CN"/>
              </w:rPr>
              <w:t>，</w:t>
            </w:r>
            <w:r>
              <w:rPr>
                <w:rFonts w:hint="eastAsia" w:ascii="宋体" w:hAnsi="宋体" w:cs="微软雅黑"/>
                <w:kern w:val="0"/>
                <w:shd w:val="clear" w:color="auto" w:fill="FFFFFF"/>
              </w:rPr>
              <w:t>得</w:t>
            </w:r>
            <w:r>
              <w:rPr>
                <w:rFonts w:hint="eastAsia" w:ascii="宋体" w:hAnsi="宋体" w:cs="微软雅黑"/>
                <w:kern w:val="0"/>
                <w:shd w:val="clear" w:color="auto" w:fill="FFFFFF"/>
                <w:lang w:val="en-US" w:eastAsia="zh-CN"/>
              </w:rPr>
              <w:t>1</w:t>
            </w:r>
            <w:r>
              <w:rPr>
                <w:rFonts w:hint="eastAsia" w:ascii="宋体" w:hAnsi="宋体" w:cs="微软雅黑"/>
                <w:kern w:val="0"/>
                <w:shd w:val="clear" w:color="auto" w:fill="FFFFFF"/>
              </w:rPr>
              <w:t>分；</w:t>
            </w:r>
          </w:p>
          <w:p>
            <w:pPr>
              <w:snapToGrid w:val="0"/>
              <w:spacing w:line="360" w:lineRule="exac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w:t>
            </w:r>
            <w:r>
              <w:rPr>
                <w:rFonts w:hint="eastAsia" w:ascii="宋体" w:hAnsi="宋体" w:eastAsia="宋体" w:cs="宋体"/>
                <w:kern w:val="0"/>
                <w:sz w:val="21"/>
                <w:szCs w:val="21"/>
                <w:shd w:val="clear" w:color="auto" w:fill="FFFFFF"/>
                <w:lang w:val="en-US" w:eastAsia="zh-CN"/>
              </w:rPr>
              <w:t>3</w:t>
            </w:r>
            <w:r>
              <w:rPr>
                <w:rFonts w:hint="eastAsia" w:ascii="宋体" w:hAnsi="宋体" w:eastAsia="宋体" w:cs="宋体"/>
                <w:kern w:val="0"/>
                <w:sz w:val="21"/>
                <w:szCs w:val="21"/>
                <w:shd w:val="clear" w:color="auto" w:fill="FFFFFF"/>
              </w:rPr>
              <w:t>）</w:t>
            </w:r>
            <w:r>
              <w:rPr>
                <w:rFonts w:hint="eastAsia" w:ascii="宋体" w:hAnsi="宋体" w:eastAsia="宋体" w:cs="宋体"/>
                <w:kern w:val="0"/>
                <w:sz w:val="21"/>
                <w:szCs w:val="21"/>
                <w:shd w:val="clear" w:color="auto" w:fill="FFFFFF"/>
                <w:lang w:val="en-US" w:eastAsia="zh-CN"/>
              </w:rPr>
              <w:t>未提供方案的</w:t>
            </w:r>
            <w:r>
              <w:rPr>
                <w:rFonts w:hint="eastAsia" w:ascii="宋体" w:hAnsi="宋体" w:eastAsia="宋体" w:cs="宋体"/>
                <w:kern w:val="0"/>
                <w:sz w:val="21"/>
                <w:szCs w:val="21"/>
                <w:shd w:val="clear" w:color="auto" w:fill="FFFFFF"/>
              </w:rPr>
              <w:t>不得分</w:t>
            </w:r>
          </w:p>
        </w:tc>
      </w:tr>
      <w:tr>
        <w:tblPrEx>
          <w:tblCellMar>
            <w:top w:w="15" w:type="dxa"/>
            <w:left w:w="15" w:type="dxa"/>
            <w:bottom w:w="15" w:type="dxa"/>
            <w:right w:w="15" w:type="dxa"/>
          </w:tblCellMar>
        </w:tblPrEx>
        <w:trPr>
          <w:trHeight w:val="648" w:hRule="atLeast"/>
          <w:jc w:val="center"/>
        </w:trPr>
        <w:tc>
          <w:tcPr>
            <w:tcW w:w="837" w:type="dxa"/>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rPr>
            </w:pPr>
          </w:p>
        </w:tc>
        <w:tc>
          <w:tcPr>
            <w:tcW w:w="1198" w:type="dxa"/>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rPr>
            </w:pPr>
          </w:p>
        </w:tc>
        <w:tc>
          <w:tcPr>
            <w:tcW w:w="909" w:type="dxa"/>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rPr>
            </w:pPr>
          </w:p>
        </w:tc>
        <w:tc>
          <w:tcPr>
            <w:tcW w:w="504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numPr>
                <w:ilvl w:val="0"/>
                <w:numId w:val="2"/>
              </w:numPr>
              <w:snapToGrid w:val="0"/>
              <w:spacing w:line="360" w:lineRule="exact"/>
              <w:rPr>
                <w:rFonts w:hint="eastAsia"/>
              </w:rPr>
            </w:pPr>
            <w:r>
              <w:rPr>
                <w:rFonts w:hint="eastAsia"/>
              </w:rPr>
              <w:t>视参与本项目磋商的供应商提供的设备的安装</w:t>
            </w:r>
            <w:r>
              <w:rPr>
                <w:rFonts w:hint="eastAsia"/>
                <w:lang w:eastAsia="zh-CN"/>
              </w:rPr>
              <w:t>及调试</w:t>
            </w:r>
            <w:r>
              <w:rPr>
                <w:rFonts w:hint="eastAsia"/>
              </w:rPr>
              <w:t>等进行综合考评</w:t>
            </w:r>
            <w:r>
              <w:rPr>
                <w:rFonts w:hint="eastAsia"/>
                <w:lang w:eastAsia="zh-CN"/>
              </w:rPr>
              <w:t>，</w:t>
            </w:r>
            <w:r>
              <w:rPr>
                <w:rFonts w:hint="eastAsia" w:ascii="宋体" w:hAnsi="宋体" w:cs="微软雅黑"/>
                <w:kern w:val="0"/>
                <w:shd w:val="clear" w:color="auto" w:fill="FFFFFF"/>
                <w:lang w:val="en-US" w:eastAsia="zh-CN"/>
              </w:rPr>
              <w:t>满分3分。</w:t>
            </w:r>
          </w:p>
          <w:p>
            <w:pPr>
              <w:pStyle w:val="2"/>
              <w:ind w:left="0" w:leftChars="0" w:firstLine="0" w:firstLineChars="0"/>
              <w:rPr>
                <w:rFonts w:hint="eastAsia"/>
              </w:rPr>
            </w:pPr>
            <w:r>
              <w:rPr>
                <w:rFonts w:hint="eastAsia"/>
              </w:rPr>
              <w:t>（1）合理可行的得</w:t>
            </w:r>
            <w:r>
              <w:rPr>
                <w:rFonts w:hint="eastAsia"/>
                <w:lang w:val="en-US" w:eastAsia="zh-CN"/>
              </w:rPr>
              <w:t>3</w:t>
            </w:r>
            <w:r>
              <w:rPr>
                <w:rFonts w:hint="eastAsia"/>
              </w:rPr>
              <w:t>分；</w:t>
            </w:r>
          </w:p>
          <w:p>
            <w:pPr>
              <w:pStyle w:val="2"/>
              <w:ind w:firstLine="0" w:firstLineChars="0"/>
              <w:rPr>
                <w:rFonts w:ascii="宋体" w:hAnsi="宋体" w:cs="微软雅黑"/>
                <w:kern w:val="0"/>
                <w:shd w:val="clear" w:color="auto" w:fill="FFFFFF"/>
              </w:rPr>
            </w:pPr>
            <w:r>
              <w:rPr>
                <w:rFonts w:hint="eastAsia" w:ascii="宋体" w:hAnsi="宋体" w:cs="微软雅黑"/>
                <w:kern w:val="0"/>
                <w:shd w:val="clear" w:color="auto" w:fill="FFFFFF"/>
              </w:rPr>
              <w:t>（2）有不合理</w:t>
            </w:r>
            <w:r>
              <w:rPr>
                <w:rFonts w:hint="eastAsia" w:ascii="宋体" w:hAnsi="宋体" w:cs="微软雅黑"/>
                <w:kern w:val="0"/>
                <w:shd w:val="clear" w:color="auto" w:fill="FFFFFF"/>
                <w:lang w:eastAsia="zh-CN"/>
              </w:rPr>
              <w:t>一</w:t>
            </w:r>
            <w:r>
              <w:rPr>
                <w:rFonts w:hint="eastAsia" w:ascii="宋体" w:hAnsi="宋体" w:cs="微软雅黑"/>
                <w:kern w:val="0"/>
                <w:shd w:val="clear" w:color="auto" w:fill="FFFFFF"/>
              </w:rPr>
              <w:t>处</w:t>
            </w:r>
            <w:r>
              <w:rPr>
                <w:rFonts w:hint="eastAsia" w:ascii="宋体" w:hAnsi="宋体" w:cs="微软雅黑"/>
                <w:kern w:val="0"/>
                <w:shd w:val="clear" w:color="auto" w:fill="FFFFFF"/>
                <w:lang w:eastAsia="zh-CN"/>
              </w:rPr>
              <w:t>及以上</w:t>
            </w:r>
            <w:r>
              <w:rPr>
                <w:rFonts w:hint="eastAsia" w:ascii="宋体" w:hAnsi="宋体" w:cs="微软雅黑"/>
                <w:kern w:val="0"/>
                <w:shd w:val="clear" w:color="auto" w:fill="FFFFFF"/>
              </w:rPr>
              <w:t>的，或缺乏针对性的</w:t>
            </w:r>
            <w:r>
              <w:rPr>
                <w:rFonts w:hint="eastAsia" w:ascii="宋体" w:hAnsi="宋体" w:cs="微软雅黑"/>
                <w:kern w:val="0"/>
                <w:shd w:val="clear" w:color="auto" w:fill="FFFFFF"/>
                <w:lang w:eastAsia="zh-CN"/>
              </w:rPr>
              <w:t>，</w:t>
            </w:r>
            <w:r>
              <w:rPr>
                <w:rFonts w:hint="eastAsia" w:ascii="宋体" w:hAnsi="宋体" w:cs="微软雅黑"/>
                <w:kern w:val="0"/>
                <w:shd w:val="clear" w:color="auto" w:fill="FFFFFF"/>
              </w:rPr>
              <w:t>得</w:t>
            </w:r>
            <w:r>
              <w:rPr>
                <w:rFonts w:hint="eastAsia" w:ascii="宋体" w:hAnsi="宋体" w:cs="微软雅黑"/>
                <w:kern w:val="0"/>
                <w:shd w:val="clear" w:color="auto" w:fill="FFFFFF"/>
                <w:lang w:val="en-US" w:eastAsia="zh-CN"/>
              </w:rPr>
              <w:t>1</w:t>
            </w:r>
            <w:r>
              <w:rPr>
                <w:rFonts w:hint="eastAsia" w:ascii="宋体" w:hAnsi="宋体" w:cs="微软雅黑"/>
                <w:kern w:val="0"/>
                <w:shd w:val="clear" w:color="auto" w:fill="FFFFFF"/>
              </w:rPr>
              <w:t>分；</w:t>
            </w:r>
          </w:p>
          <w:p>
            <w:pPr>
              <w:pStyle w:val="2"/>
              <w:ind w:left="0" w:leftChars="0" w:firstLine="0" w:firstLineChars="0"/>
              <w:rPr>
                <w:rFonts w:hint="eastAsia"/>
              </w:rPr>
            </w:pPr>
            <w:r>
              <w:rPr>
                <w:rFonts w:hint="eastAsia"/>
              </w:rPr>
              <w:t>（</w:t>
            </w:r>
            <w:r>
              <w:rPr>
                <w:rFonts w:hint="eastAsia"/>
                <w:lang w:val="en-US" w:eastAsia="zh-CN"/>
              </w:rPr>
              <w:t>3</w:t>
            </w:r>
            <w:r>
              <w:rPr>
                <w:rFonts w:hint="eastAsia"/>
              </w:rPr>
              <w:t>）</w:t>
            </w:r>
            <w:r>
              <w:rPr>
                <w:rFonts w:hint="eastAsia" w:ascii="宋体" w:hAnsi="宋体" w:eastAsia="宋体" w:cs="宋体"/>
                <w:kern w:val="0"/>
                <w:sz w:val="21"/>
                <w:szCs w:val="21"/>
                <w:shd w:val="clear" w:color="auto" w:fill="FFFFFF"/>
                <w:lang w:val="en-US" w:eastAsia="zh-CN"/>
              </w:rPr>
              <w:t>未提供方案的</w:t>
            </w:r>
            <w:r>
              <w:rPr>
                <w:rFonts w:hint="eastAsia" w:ascii="宋体" w:hAnsi="宋体" w:eastAsia="宋体" w:cs="宋体"/>
                <w:kern w:val="0"/>
                <w:sz w:val="21"/>
                <w:szCs w:val="21"/>
                <w:shd w:val="clear" w:color="auto" w:fill="FFFFFF"/>
              </w:rPr>
              <w:t>不得分</w:t>
            </w:r>
          </w:p>
        </w:tc>
      </w:tr>
      <w:tr>
        <w:tblPrEx>
          <w:tblCellMar>
            <w:top w:w="15" w:type="dxa"/>
            <w:left w:w="15" w:type="dxa"/>
            <w:bottom w:w="15" w:type="dxa"/>
            <w:right w:w="15" w:type="dxa"/>
          </w:tblCellMar>
        </w:tblPrEx>
        <w:trPr>
          <w:trHeight w:val="1615" w:hRule="atLeast"/>
          <w:jc w:val="center"/>
        </w:trPr>
        <w:tc>
          <w:tcPr>
            <w:tcW w:w="837" w:type="dxa"/>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rPr>
            </w:pPr>
          </w:p>
        </w:tc>
        <w:tc>
          <w:tcPr>
            <w:tcW w:w="1198" w:type="dxa"/>
            <w:vMerge w:val="continue"/>
            <w:tcBorders>
              <w:left w:val="single" w:color="auto" w:sz="4" w:space="0"/>
              <w:right w:val="single" w:color="auto" w:sz="4" w:space="0"/>
            </w:tcBorders>
            <w:shd w:val="clear" w:color="auto" w:fill="FFFFFF"/>
            <w:noWrap w:val="0"/>
            <w:vAlign w:val="center"/>
          </w:tcPr>
          <w:p>
            <w:pPr>
              <w:jc w:val="center"/>
              <w:textAlignment w:val="center"/>
              <w:rPr>
                <w:rFonts w:hint="eastAsia" w:ascii="宋体" w:hAnsi="宋体" w:eastAsia="宋体" w:cs="宋体"/>
                <w:kern w:val="0"/>
                <w:sz w:val="21"/>
                <w:szCs w:val="21"/>
              </w:rPr>
            </w:pPr>
          </w:p>
        </w:tc>
        <w:tc>
          <w:tcPr>
            <w:tcW w:w="909" w:type="dxa"/>
            <w:vMerge w:val="continue"/>
            <w:tcBorders>
              <w:left w:val="single" w:color="auto" w:sz="4" w:space="0"/>
              <w:right w:val="single" w:color="auto" w:sz="4" w:space="0"/>
            </w:tcBorders>
            <w:shd w:val="clear" w:color="auto" w:fill="FFFFFF"/>
            <w:noWrap w:val="0"/>
            <w:vAlign w:val="center"/>
          </w:tcPr>
          <w:p>
            <w:pPr>
              <w:jc w:val="center"/>
              <w:textAlignment w:val="center"/>
              <w:rPr>
                <w:rFonts w:hint="eastAsia" w:ascii="宋体" w:hAnsi="宋体" w:eastAsia="宋体" w:cs="宋体"/>
                <w:kern w:val="0"/>
                <w:sz w:val="21"/>
                <w:szCs w:val="21"/>
              </w:rPr>
            </w:pPr>
          </w:p>
        </w:tc>
        <w:tc>
          <w:tcPr>
            <w:tcW w:w="5044" w:type="dxa"/>
            <w:tcBorders>
              <w:top w:val="single" w:color="000000" w:sz="4" w:space="0"/>
              <w:left w:val="single" w:color="000000" w:sz="4" w:space="0"/>
              <w:bottom w:val="single" w:color="auto" w:sz="4" w:space="0"/>
              <w:right w:val="single" w:color="000000" w:sz="4" w:space="0"/>
            </w:tcBorders>
            <w:shd w:val="clear" w:color="auto" w:fill="FFFFFF"/>
            <w:noWrap w:val="0"/>
            <w:vAlign w:val="top"/>
          </w:tcPr>
          <w:p>
            <w:pPr>
              <w:numPr>
                <w:ilvl w:val="0"/>
                <w:numId w:val="2"/>
              </w:numPr>
              <w:snapToGrid w:val="0"/>
              <w:spacing w:line="360" w:lineRule="exact"/>
              <w:ind w:left="0" w:leftChars="0" w:firstLine="0" w:firstLineChars="0"/>
              <w:rPr>
                <w:rFonts w:hint="eastAsia"/>
              </w:rPr>
            </w:pPr>
            <w:r>
              <w:rPr>
                <w:rFonts w:hint="eastAsia"/>
              </w:rPr>
              <w:t>视参与本项目磋商的供应商提供的</w:t>
            </w:r>
            <w:r>
              <w:rPr>
                <w:rFonts w:hint="eastAsia"/>
                <w:lang w:eastAsia="zh-CN"/>
              </w:rPr>
              <w:t>废物清理外运</w:t>
            </w:r>
            <w:r>
              <w:rPr>
                <w:rFonts w:hint="eastAsia"/>
              </w:rPr>
              <w:t>方案进行综合考评</w:t>
            </w:r>
            <w:r>
              <w:rPr>
                <w:rFonts w:hint="eastAsia"/>
                <w:lang w:eastAsia="zh-CN"/>
              </w:rPr>
              <w:t>，满分</w:t>
            </w:r>
            <w:r>
              <w:rPr>
                <w:rFonts w:hint="eastAsia"/>
                <w:lang w:val="en-US" w:eastAsia="zh-CN"/>
              </w:rPr>
              <w:t>3</w:t>
            </w:r>
            <w:r>
              <w:rPr>
                <w:rFonts w:hint="eastAsia"/>
                <w:lang w:eastAsia="zh-CN"/>
              </w:rPr>
              <w:t>分。</w:t>
            </w:r>
          </w:p>
          <w:p>
            <w:pPr>
              <w:pStyle w:val="2"/>
              <w:numPr>
                <w:ilvl w:val="0"/>
                <w:numId w:val="0"/>
              </w:numPr>
              <w:ind w:leftChars="0"/>
              <w:rPr>
                <w:rFonts w:hint="eastAsia"/>
              </w:rPr>
            </w:pPr>
            <w:r>
              <w:rPr>
                <w:rFonts w:hint="eastAsia"/>
              </w:rPr>
              <w:t>（1）合理可行的得</w:t>
            </w:r>
            <w:r>
              <w:rPr>
                <w:rFonts w:hint="eastAsia"/>
                <w:lang w:val="en-US" w:eastAsia="zh-CN"/>
              </w:rPr>
              <w:t>3</w:t>
            </w:r>
            <w:r>
              <w:rPr>
                <w:rFonts w:hint="eastAsia"/>
              </w:rPr>
              <w:t>分；</w:t>
            </w:r>
          </w:p>
          <w:p>
            <w:pPr>
              <w:pStyle w:val="2"/>
              <w:ind w:firstLine="0" w:firstLineChars="0"/>
              <w:rPr>
                <w:rFonts w:ascii="宋体" w:hAnsi="宋体" w:cs="微软雅黑"/>
                <w:kern w:val="0"/>
                <w:shd w:val="clear" w:color="auto" w:fill="FFFFFF"/>
              </w:rPr>
            </w:pPr>
            <w:r>
              <w:rPr>
                <w:rFonts w:hint="eastAsia" w:ascii="宋体" w:hAnsi="宋体" w:cs="微软雅黑"/>
                <w:kern w:val="0"/>
                <w:shd w:val="clear" w:color="auto" w:fill="FFFFFF"/>
              </w:rPr>
              <w:t>（2）有不合理</w:t>
            </w:r>
            <w:r>
              <w:rPr>
                <w:rFonts w:hint="eastAsia" w:ascii="宋体" w:hAnsi="宋体" w:cs="微软雅黑"/>
                <w:kern w:val="0"/>
                <w:shd w:val="clear" w:color="auto" w:fill="FFFFFF"/>
                <w:lang w:eastAsia="zh-CN"/>
              </w:rPr>
              <w:t>一</w:t>
            </w:r>
            <w:r>
              <w:rPr>
                <w:rFonts w:hint="eastAsia" w:ascii="宋体" w:hAnsi="宋体" w:cs="微软雅黑"/>
                <w:kern w:val="0"/>
                <w:shd w:val="clear" w:color="auto" w:fill="FFFFFF"/>
              </w:rPr>
              <w:t>处</w:t>
            </w:r>
            <w:r>
              <w:rPr>
                <w:rFonts w:hint="eastAsia" w:ascii="宋体" w:hAnsi="宋体" w:cs="微软雅黑"/>
                <w:kern w:val="0"/>
                <w:shd w:val="clear" w:color="auto" w:fill="FFFFFF"/>
                <w:lang w:eastAsia="zh-CN"/>
              </w:rPr>
              <w:t>及以上</w:t>
            </w:r>
            <w:r>
              <w:rPr>
                <w:rFonts w:hint="eastAsia" w:ascii="宋体" w:hAnsi="宋体" w:cs="微软雅黑"/>
                <w:kern w:val="0"/>
                <w:shd w:val="clear" w:color="auto" w:fill="FFFFFF"/>
              </w:rPr>
              <w:t>的，或缺乏针对性的</w:t>
            </w:r>
            <w:r>
              <w:rPr>
                <w:rFonts w:hint="eastAsia" w:ascii="宋体" w:hAnsi="宋体" w:cs="微软雅黑"/>
                <w:kern w:val="0"/>
                <w:shd w:val="clear" w:color="auto" w:fill="FFFFFF"/>
                <w:lang w:eastAsia="zh-CN"/>
              </w:rPr>
              <w:t>，</w:t>
            </w:r>
            <w:r>
              <w:rPr>
                <w:rFonts w:hint="eastAsia" w:ascii="宋体" w:hAnsi="宋体" w:cs="微软雅黑"/>
                <w:kern w:val="0"/>
                <w:shd w:val="clear" w:color="auto" w:fill="FFFFFF"/>
              </w:rPr>
              <w:t>得</w:t>
            </w:r>
            <w:r>
              <w:rPr>
                <w:rFonts w:hint="eastAsia" w:ascii="宋体" w:hAnsi="宋体" w:cs="微软雅黑"/>
                <w:kern w:val="0"/>
                <w:shd w:val="clear" w:color="auto" w:fill="FFFFFF"/>
                <w:lang w:val="en-US" w:eastAsia="zh-CN"/>
              </w:rPr>
              <w:t>1</w:t>
            </w:r>
            <w:r>
              <w:rPr>
                <w:rFonts w:hint="eastAsia" w:ascii="宋体" w:hAnsi="宋体" w:cs="微软雅黑"/>
                <w:kern w:val="0"/>
                <w:shd w:val="clear" w:color="auto" w:fill="FFFFFF"/>
              </w:rPr>
              <w:t>分；</w:t>
            </w:r>
          </w:p>
          <w:p>
            <w:pPr>
              <w:pStyle w:val="2"/>
              <w:numPr>
                <w:ilvl w:val="0"/>
                <w:numId w:val="0"/>
              </w:numPr>
              <w:ind w:leftChars="0"/>
              <w:rPr>
                <w:rFonts w:hint="eastAsia"/>
              </w:rPr>
            </w:pPr>
            <w:r>
              <w:rPr>
                <w:rFonts w:hint="eastAsia"/>
              </w:rPr>
              <w:t>（</w:t>
            </w:r>
            <w:r>
              <w:rPr>
                <w:rFonts w:hint="eastAsia"/>
                <w:lang w:val="en-US" w:eastAsia="zh-CN"/>
              </w:rPr>
              <w:t>3</w:t>
            </w:r>
            <w:r>
              <w:rPr>
                <w:rFonts w:hint="eastAsia"/>
              </w:rPr>
              <w:t>）</w:t>
            </w:r>
            <w:r>
              <w:rPr>
                <w:rFonts w:hint="eastAsia" w:ascii="宋体" w:hAnsi="宋体" w:eastAsia="宋体" w:cs="宋体"/>
                <w:kern w:val="0"/>
                <w:sz w:val="21"/>
                <w:szCs w:val="21"/>
                <w:shd w:val="clear" w:color="auto" w:fill="FFFFFF"/>
                <w:lang w:val="en-US" w:eastAsia="zh-CN"/>
              </w:rPr>
              <w:t>未提供方案的</w:t>
            </w:r>
            <w:r>
              <w:rPr>
                <w:rFonts w:hint="eastAsia" w:ascii="宋体" w:hAnsi="宋体" w:eastAsia="宋体" w:cs="宋体"/>
                <w:kern w:val="0"/>
                <w:sz w:val="21"/>
                <w:szCs w:val="21"/>
                <w:shd w:val="clear" w:color="auto" w:fill="FFFFFF"/>
              </w:rPr>
              <w:t>不得分</w:t>
            </w:r>
            <w:r>
              <w:rPr>
                <w:rFonts w:hint="eastAsia"/>
              </w:rPr>
              <w:t>。</w:t>
            </w:r>
          </w:p>
        </w:tc>
      </w:tr>
      <w:tr>
        <w:tblPrEx>
          <w:tblCellMar>
            <w:top w:w="15" w:type="dxa"/>
            <w:left w:w="15" w:type="dxa"/>
            <w:bottom w:w="15" w:type="dxa"/>
            <w:right w:w="15" w:type="dxa"/>
          </w:tblCellMar>
        </w:tblPrEx>
        <w:trPr>
          <w:trHeight w:val="1615" w:hRule="atLeast"/>
          <w:jc w:val="center"/>
        </w:trPr>
        <w:tc>
          <w:tcPr>
            <w:tcW w:w="837" w:type="dxa"/>
            <w:vMerge w:val="continue"/>
            <w:tcBorders>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rPr>
            </w:pPr>
          </w:p>
        </w:tc>
        <w:tc>
          <w:tcPr>
            <w:tcW w:w="1198"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textAlignment w:val="center"/>
              <w:rPr>
                <w:rFonts w:hint="eastAsia" w:ascii="宋体" w:hAnsi="宋体" w:eastAsia="宋体" w:cs="宋体"/>
                <w:kern w:val="0"/>
                <w:sz w:val="21"/>
                <w:szCs w:val="21"/>
              </w:rPr>
            </w:pPr>
          </w:p>
        </w:tc>
        <w:tc>
          <w:tcPr>
            <w:tcW w:w="909"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textAlignment w:val="center"/>
              <w:rPr>
                <w:rFonts w:hint="eastAsia" w:ascii="宋体" w:hAnsi="宋体" w:eastAsia="宋体" w:cs="宋体"/>
                <w:kern w:val="0"/>
                <w:sz w:val="21"/>
                <w:szCs w:val="21"/>
              </w:rPr>
            </w:pPr>
          </w:p>
        </w:tc>
        <w:tc>
          <w:tcPr>
            <w:tcW w:w="5044" w:type="dxa"/>
            <w:tcBorders>
              <w:top w:val="single" w:color="000000" w:sz="4" w:space="0"/>
              <w:left w:val="single" w:color="000000" w:sz="4" w:space="0"/>
              <w:bottom w:val="single" w:color="auto" w:sz="4" w:space="0"/>
              <w:right w:val="single" w:color="000000" w:sz="4" w:space="0"/>
            </w:tcBorders>
            <w:shd w:val="clear" w:color="auto" w:fill="FFFFFF"/>
            <w:noWrap w:val="0"/>
            <w:vAlign w:val="top"/>
          </w:tcPr>
          <w:p>
            <w:pPr>
              <w:numPr>
                <w:ilvl w:val="0"/>
                <w:numId w:val="2"/>
              </w:numPr>
              <w:snapToGrid w:val="0"/>
              <w:spacing w:line="360" w:lineRule="exact"/>
              <w:ind w:left="0" w:leftChars="0" w:firstLine="0" w:firstLineChars="0"/>
              <w:rPr>
                <w:rFonts w:hint="eastAsia"/>
              </w:rPr>
            </w:pPr>
            <w:r>
              <w:rPr>
                <w:rFonts w:hint="eastAsia"/>
              </w:rPr>
              <w:t>视参与本项目磋商的供应商提供</w:t>
            </w:r>
            <w:r>
              <w:rPr>
                <w:rFonts w:hint="eastAsia"/>
                <w:lang w:eastAsia="zh-CN"/>
              </w:rPr>
              <w:t>的原有设备保护</w:t>
            </w:r>
            <w:r>
              <w:rPr>
                <w:rFonts w:hint="eastAsia"/>
              </w:rPr>
              <w:t>进行综合考评</w:t>
            </w:r>
            <w:r>
              <w:rPr>
                <w:rFonts w:hint="eastAsia"/>
                <w:lang w:eastAsia="zh-CN"/>
              </w:rPr>
              <w:t>，满分</w:t>
            </w:r>
            <w:r>
              <w:rPr>
                <w:rFonts w:hint="eastAsia"/>
                <w:lang w:val="en-US" w:eastAsia="zh-CN"/>
              </w:rPr>
              <w:t>3</w:t>
            </w:r>
            <w:r>
              <w:rPr>
                <w:rFonts w:hint="eastAsia"/>
                <w:lang w:eastAsia="zh-CN"/>
              </w:rPr>
              <w:t>分。</w:t>
            </w:r>
          </w:p>
          <w:p>
            <w:pPr>
              <w:pStyle w:val="2"/>
              <w:numPr>
                <w:ilvl w:val="0"/>
                <w:numId w:val="0"/>
              </w:numPr>
              <w:ind w:leftChars="0"/>
              <w:rPr>
                <w:rFonts w:hint="eastAsia"/>
              </w:rPr>
            </w:pPr>
            <w:r>
              <w:rPr>
                <w:rFonts w:hint="eastAsia"/>
              </w:rPr>
              <w:t>（1）合理可行的得</w:t>
            </w:r>
            <w:r>
              <w:rPr>
                <w:rFonts w:hint="eastAsia"/>
                <w:lang w:val="en-US" w:eastAsia="zh-CN"/>
              </w:rPr>
              <w:t>3</w:t>
            </w:r>
            <w:r>
              <w:rPr>
                <w:rFonts w:hint="eastAsia"/>
              </w:rPr>
              <w:t>分；</w:t>
            </w:r>
          </w:p>
          <w:p>
            <w:pPr>
              <w:pStyle w:val="2"/>
              <w:numPr>
                <w:ilvl w:val="0"/>
                <w:numId w:val="0"/>
              </w:numPr>
              <w:ind w:leftChars="0"/>
              <w:rPr>
                <w:rFonts w:hint="eastAsia"/>
              </w:rPr>
            </w:pPr>
            <w:r>
              <w:rPr>
                <w:rFonts w:hint="eastAsia" w:ascii="宋体" w:hAnsi="宋体" w:cs="微软雅黑"/>
                <w:kern w:val="0"/>
                <w:shd w:val="clear" w:color="auto" w:fill="FFFFFF"/>
              </w:rPr>
              <w:t>（2）有不合理</w:t>
            </w:r>
            <w:r>
              <w:rPr>
                <w:rFonts w:hint="eastAsia" w:ascii="宋体" w:hAnsi="宋体" w:cs="微软雅黑"/>
                <w:kern w:val="0"/>
                <w:shd w:val="clear" w:color="auto" w:fill="FFFFFF"/>
                <w:lang w:eastAsia="zh-CN"/>
              </w:rPr>
              <w:t>一</w:t>
            </w:r>
            <w:r>
              <w:rPr>
                <w:rFonts w:hint="eastAsia" w:ascii="宋体" w:hAnsi="宋体" w:cs="微软雅黑"/>
                <w:kern w:val="0"/>
                <w:shd w:val="clear" w:color="auto" w:fill="FFFFFF"/>
              </w:rPr>
              <w:t>处</w:t>
            </w:r>
            <w:r>
              <w:rPr>
                <w:rFonts w:hint="eastAsia" w:ascii="宋体" w:hAnsi="宋体" w:cs="微软雅黑"/>
                <w:kern w:val="0"/>
                <w:shd w:val="clear" w:color="auto" w:fill="FFFFFF"/>
                <w:lang w:eastAsia="zh-CN"/>
              </w:rPr>
              <w:t>及以上</w:t>
            </w:r>
            <w:r>
              <w:rPr>
                <w:rFonts w:hint="eastAsia" w:ascii="宋体" w:hAnsi="宋体" w:cs="微软雅黑"/>
                <w:kern w:val="0"/>
                <w:shd w:val="clear" w:color="auto" w:fill="FFFFFF"/>
              </w:rPr>
              <w:t>的，或缺乏针对性的</w:t>
            </w:r>
            <w:r>
              <w:rPr>
                <w:rFonts w:hint="eastAsia" w:ascii="宋体" w:hAnsi="宋体" w:cs="微软雅黑"/>
                <w:kern w:val="0"/>
                <w:shd w:val="clear" w:color="auto" w:fill="FFFFFF"/>
                <w:lang w:eastAsia="zh-CN"/>
              </w:rPr>
              <w:t>，</w:t>
            </w:r>
            <w:r>
              <w:rPr>
                <w:rFonts w:hint="eastAsia" w:ascii="宋体" w:hAnsi="宋体" w:cs="微软雅黑"/>
                <w:kern w:val="0"/>
                <w:shd w:val="clear" w:color="auto" w:fill="FFFFFF"/>
              </w:rPr>
              <w:t>得</w:t>
            </w:r>
            <w:r>
              <w:rPr>
                <w:rFonts w:hint="eastAsia" w:ascii="宋体" w:hAnsi="宋体" w:cs="微软雅黑"/>
                <w:kern w:val="0"/>
                <w:shd w:val="clear" w:color="auto" w:fill="FFFFFF"/>
                <w:lang w:val="en-US" w:eastAsia="zh-CN"/>
              </w:rPr>
              <w:t>1</w:t>
            </w:r>
            <w:r>
              <w:rPr>
                <w:rFonts w:hint="eastAsia" w:ascii="宋体" w:hAnsi="宋体" w:cs="微软雅黑"/>
                <w:kern w:val="0"/>
                <w:shd w:val="clear" w:color="auto" w:fill="FFFFFF"/>
              </w:rPr>
              <w:t>分；</w:t>
            </w:r>
          </w:p>
          <w:p>
            <w:pPr>
              <w:pStyle w:val="2"/>
              <w:numPr>
                <w:ilvl w:val="0"/>
                <w:numId w:val="0"/>
              </w:numPr>
              <w:ind w:leftChars="0"/>
              <w:rPr>
                <w:rFonts w:hint="eastAsia"/>
              </w:rPr>
            </w:pPr>
            <w:r>
              <w:rPr>
                <w:rFonts w:hint="eastAsia"/>
              </w:rPr>
              <w:t>（</w:t>
            </w:r>
            <w:r>
              <w:rPr>
                <w:rFonts w:hint="eastAsia"/>
                <w:lang w:val="en-US" w:eastAsia="zh-CN"/>
              </w:rPr>
              <w:t>3</w:t>
            </w:r>
            <w:r>
              <w:rPr>
                <w:rFonts w:hint="eastAsia"/>
              </w:rPr>
              <w:t>）</w:t>
            </w:r>
            <w:r>
              <w:rPr>
                <w:rFonts w:hint="eastAsia" w:ascii="宋体" w:hAnsi="宋体" w:eastAsia="宋体" w:cs="宋体"/>
                <w:kern w:val="0"/>
                <w:sz w:val="21"/>
                <w:szCs w:val="21"/>
                <w:shd w:val="clear" w:color="auto" w:fill="FFFFFF"/>
                <w:lang w:val="en-US" w:eastAsia="zh-CN"/>
              </w:rPr>
              <w:t>未提供方案的</w:t>
            </w:r>
            <w:r>
              <w:rPr>
                <w:rFonts w:hint="eastAsia" w:ascii="宋体" w:hAnsi="宋体" w:eastAsia="宋体" w:cs="宋体"/>
                <w:kern w:val="0"/>
                <w:sz w:val="21"/>
                <w:szCs w:val="21"/>
                <w:shd w:val="clear" w:color="auto" w:fill="FFFFFF"/>
              </w:rPr>
              <w:t>不得分</w:t>
            </w:r>
            <w:r>
              <w:rPr>
                <w:rFonts w:hint="eastAsia"/>
              </w:rPr>
              <w:t>。</w:t>
            </w:r>
          </w:p>
        </w:tc>
      </w:tr>
      <w:tr>
        <w:tblPrEx>
          <w:tblCellMar>
            <w:top w:w="15" w:type="dxa"/>
            <w:left w:w="15" w:type="dxa"/>
            <w:bottom w:w="15" w:type="dxa"/>
            <w:right w:w="15" w:type="dxa"/>
          </w:tblCellMar>
        </w:tblPrEx>
        <w:trPr>
          <w:trHeight w:val="1615" w:hRule="atLeast"/>
          <w:jc w:val="center"/>
        </w:trPr>
        <w:tc>
          <w:tcPr>
            <w:tcW w:w="837" w:type="dxa"/>
            <w:tcBorders>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w:t>
            </w:r>
          </w:p>
        </w:tc>
        <w:tc>
          <w:tcPr>
            <w:tcW w:w="1198" w:type="dxa"/>
            <w:tcBorders>
              <w:left w:val="single" w:color="auto" w:sz="4" w:space="0"/>
              <w:bottom w:val="single" w:color="auto" w:sz="4" w:space="0"/>
              <w:right w:val="single" w:color="auto" w:sz="4" w:space="0"/>
            </w:tcBorders>
            <w:shd w:val="clear" w:color="auto" w:fill="FFFFFF"/>
            <w:noWrap w:val="0"/>
            <w:vAlign w:val="center"/>
          </w:tcPr>
          <w:p>
            <w:pPr>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疫情防控</w:t>
            </w:r>
          </w:p>
        </w:tc>
        <w:tc>
          <w:tcPr>
            <w:tcW w:w="909" w:type="dxa"/>
            <w:tcBorders>
              <w:left w:val="single" w:color="auto" w:sz="4" w:space="0"/>
              <w:bottom w:val="single" w:color="auto" w:sz="4" w:space="0"/>
              <w:right w:val="single" w:color="auto" w:sz="4" w:space="0"/>
            </w:tcBorders>
            <w:shd w:val="clear" w:color="auto" w:fill="FFFFFF"/>
            <w:noWrap w:val="0"/>
            <w:vAlign w:val="center"/>
          </w:tcPr>
          <w:p>
            <w:pPr>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5044" w:type="dxa"/>
            <w:tcBorders>
              <w:top w:val="single" w:color="000000" w:sz="4" w:space="0"/>
              <w:left w:val="single" w:color="000000" w:sz="4" w:space="0"/>
              <w:bottom w:val="single" w:color="auto" w:sz="4" w:space="0"/>
              <w:right w:val="single" w:color="000000" w:sz="4" w:space="0"/>
            </w:tcBorders>
            <w:shd w:val="clear" w:color="auto" w:fill="FFFFFF"/>
            <w:noWrap w:val="0"/>
            <w:vAlign w:val="top"/>
          </w:tcPr>
          <w:p>
            <w:pPr>
              <w:pStyle w:val="2"/>
              <w:numPr>
                <w:ilvl w:val="0"/>
                <w:numId w:val="0"/>
              </w:numPr>
              <w:ind w:leftChars="0"/>
              <w:rPr>
                <w:rFonts w:hint="eastAsia"/>
              </w:rPr>
            </w:pPr>
            <w:r>
              <w:rPr>
                <w:rFonts w:hint="eastAsia"/>
                <w:lang w:val="en-US" w:eastAsia="zh-CN"/>
              </w:rPr>
              <w:t>1）</w:t>
            </w:r>
            <w:r>
              <w:rPr>
                <w:rFonts w:hint="eastAsia"/>
              </w:rPr>
              <w:t>服从有关部门和学校防控相关要求，建立疫情防控责任组织机构并明确职责，设置专门防疫管理人员，具有针对性的疫情防控制度和疫情防控措施，防控物资齐备，满分</w:t>
            </w:r>
            <w:r>
              <w:rPr>
                <w:rFonts w:hint="eastAsia"/>
                <w:lang w:val="en-US" w:eastAsia="zh-CN"/>
              </w:rPr>
              <w:t>5</w:t>
            </w:r>
            <w:r>
              <w:rPr>
                <w:rFonts w:hint="eastAsia"/>
              </w:rPr>
              <w:t>分。</w:t>
            </w:r>
          </w:p>
          <w:p>
            <w:pPr>
              <w:pStyle w:val="2"/>
              <w:numPr>
                <w:ilvl w:val="0"/>
                <w:numId w:val="0"/>
              </w:numPr>
              <w:ind w:leftChars="0"/>
              <w:rPr>
                <w:rFonts w:hint="eastAsia"/>
              </w:rPr>
            </w:pPr>
            <w:r>
              <w:rPr>
                <w:rFonts w:hint="eastAsia"/>
              </w:rPr>
              <w:t>（1）全面合理可行的得</w:t>
            </w:r>
            <w:r>
              <w:rPr>
                <w:rFonts w:hint="eastAsia"/>
                <w:lang w:val="en-US" w:eastAsia="zh-CN"/>
              </w:rPr>
              <w:t>5</w:t>
            </w:r>
            <w:r>
              <w:rPr>
                <w:rFonts w:hint="eastAsia"/>
              </w:rPr>
              <w:t>分；</w:t>
            </w:r>
          </w:p>
          <w:p>
            <w:pPr>
              <w:pStyle w:val="2"/>
              <w:ind w:firstLine="0" w:firstLineChars="0"/>
              <w:rPr>
                <w:rFonts w:hint="eastAsia"/>
              </w:rPr>
            </w:pPr>
            <w:r>
              <w:rPr>
                <w:rFonts w:hint="eastAsia" w:ascii="宋体" w:hAnsi="宋体" w:cs="微软雅黑"/>
                <w:kern w:val="0"/>
                <w:shd w:val="clear" w:color="auto" w:fill="FFFFFF"/>
              </w:rPr>
              <w:t>（2）有不合理</w:t>
            </w:r>
            <w:r>
              <w:rPr>
                <w:rFonts w:hint="eastAsia" w:ascii="宋体" w:hAnsi="宋体" w:cs="微软雅黑"/>
                <w:kern w:val="0"/>
                <w:shd w:val="clear" w:color="auto" w:fill="FFFFFF"/>
                <w:lang w:eastAsia="zh-CN"/>
              </w:rPr>
              <w:t>一</w:t>
            </w:r>
            <w:r>
              <w:rPr>
                <w:rFonts w:hint="eastAsia" w:ascii="宋体" w:hAnsi="宋体" w:cs="微软雅黑"/>
                <w:kern w:val="0"/>
                <w:shd w:val="clear" w:color="auto" w:fill="FFFFFF"/>
              </w:rPr>
              <w:t>处</w:t>
            </w:r>
            <w:r>
              <w:rPr>
                <w:rFonts w:hint="eastAsia" w:ascii="宋体" w:hAnsi="宋体" w:cs="微软雅黑"/>
                <w:kern w:val="0"/>
                <w:shd w:val="clear" w:color="auto" w:fill="FFFFFF"/>
                <w:lang w:eastAsia="zh-CN"/>
              </w:rPr>
              <w:t>及以上</w:t>
            </w:r>
            <w:r>
              <w:rPr>
                <w:rFonts w:hint="eastAsia" w:ascii="宋体" w:hAnsi="宋体" w:cs="微软雅黑"/>
                <w:kern w:val="0"/>
                <w:shd w:val="clear" w:color="auto" w:fill="FFFFFF"/>
              </w:rPr>
              <w:t>的，或缺乏针对性的</w:t>
            </w:r>
            <w:r>
              <w:rPr>
                <w:rFonts w:hint="eastAsia" w:ascii="宋体" w:hAnsi="宋体" w:cs="微软雅黑"/>
                <w:kern w:val="0"/>
                <w:shd w:val="clear" w:color="auto" w:fill="FFFFFF"/>
                <w:lang w:eastAsia="zh-CN"/>
              </w:rPr>
              <w:t>，</w:t>
            </w:r>
            <w:r>
              <w:rPr>
                <w:rFonts w:hint="eastAsia" w:ascii="宋体" w:hAnsi="宋体" w:cs="微软雅黑"/>
                <w:kern w:val="0"/>
                <w:shd w:val="clear" w:color="auto" w:fill="FFFFFF"/>
              </w:rPr>
              <w:t>得</w:t>
            </w:r>
            <w:r>
              <w:rPr>
                <w:rFonts w:hint="eastAsia" w:ascii="宋体" w:hAnsi="宋体" w:cs="微软雅黑"/>
                <w:kern w:val="0"/>
                <w:shd w:val="clear" w:color="auto" w:fill="FFFFFF"/>
                <w:lang w:val="en-US" w:eastAsia="zh-CN"/>
              </w:rPr>
              <w:t>3</w:t>
            </w:r>
            <w:r>
              <w:rPr>
                <w:rFonts w:hint="eastAsia" w:ascii="宋体" w:hAnsi="宋体" w:cs="微软雅黑"/>
                <w:kern w:val="0"/>
                <w:shd w:val="clear" w:color="auto" w:fill="FFFFFF"/>
              </w:rPr>
              <w:t>分；</w:t>
            </w:r>
          </w:p>
          <w:p>
            <w:pPr>
              <w:pStyle w:val="2"/>
              <w:numPr>
                <w:ilvl w:val="0"/>
                <w:numId w:val="0"/>
              </w:numPr>
              <w:ind w:leftChars="0"/>
              <w:rPr>
                <w:rFonts w:hint="eastAsia"/>
              </w:rPr>
            </w:pPr>
            <w:r>
              <w:rPr>
                <w:rFonts w:hint="eastAsia"/>
              </w:rPr>
              <w:t>（</w:t>
            </w:r>
            <w:r>
              <w:rPr>
                <w:rFonts w:hint="eastAsia"/>
                <w:lang w:val="en-US" w:eastAsia="zh-CN"/>
              </w:rPr>
              <w:t>3</w:t>
            </w:r>
            <w:r>
              <w:rPr>
                <w:rFonts w:hint="eastAsia"/>
              </w:rPr>
              <w:t>）未提供方案的不得分。</w:t>
            </w:r>
          </w:p>
        </w:tc>
      </w:tr>
      <w:tr>
        <w:tblPrEx>
          <w:tblCellMar>
            <w:top w:w="15" w:type="dxa"/>
            <w:left w:w="15" w:type="dxa"/>
            <w:bottom w:w="15" w:type="dxa"/>
            <w:right w:w="15" w:type="dxa"/>
          </w:tblCellMar>
        </w:tblPrEx>
        <w:trPr>
          <w:trHeight w:val="1126" w:hRule="atLeast"/>
          <w:jc w:val="center"/>
        </w:trPr>
        <w:tc>
          <w:tcPr>
            <w:tcW w:w="837"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四</w:t>
            </w:r>
            <w:r>
              <w:rPr>
                <w:rFonts w:hint="eastAsia" w:ascii="宋体" w:hAnsi="宋体" w:eastAsia="宋体" w:cs="宋体"/>
                <w:sz w:val="24"/>
                <w:szCs w:val="24"/>
                <w:lang w:val="en-US" w:eastAsia="zh-CN"/>
              </w:rPr>
              <w:t xml:space="preserve"> </w:t>
            </w:r>
          </w:p>
        </w:tc>
        <w:tc>
          <w:tcPr>
            <w:tcW w:w="1198"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售后服务</w:t>
            </w:r>
          </w:p>
        </w:tc>
        <w:tc>
          <w:tcPr>
            <w:tcW w:w="909"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1）供应商应提供售后服务承诺函并加盖供应商公章。</w:t>
            </w:r>
          </w:p>
          <w:p>
            <w:pPr>
              <w:pStyle w:val="2"/>
              <w:numPr>
                <w:ilvl w:val="0"/>
                <w:numId w:val="0"/>
              </w:numPr>
              <w:rPr>
                <w:rFonts w:hint="eastAsia" w:ascii="宋体" w:hAnsi="宋体" w:eastAsia="宋体" w:cs="宋体"/>
                <w:sz w:val="21"/>
                <w:szCs w:val="21"/>
                <w:highlight w:val="none"/>
                <w:lang w:val="en-US" w:eastAsia="zh-CN"/>
              </w:rPr>
            </w:pPr>
            <w:r>
              <w:rPr>
                <w:rFonts w:hint="eastAsia"/>
                <w:lang w:eastAsia="zh-CN"/>
              </w:rPr>
              <w:t>（</w:t>
            </w:r>
            <w:r>
              <w:rPr>
                <w:rFonts w:hint="eastAsia"/>
                <w:lang w:val="en-US" w:eastAsia="zh-CN"/>
              </w:rPr>
              <w:t>1</w:t>
            </w:r>
            <w:r>
              <w:rPr>
                <w:rFonts w:hint="eastAsia"/>
                <w:lang w:eastAsia="zh-CN"/>
              </w:rPr>
              <w:t>）</w:t>
            </w:r>
            <w:r>
              <w:rPr>
                <w:rFonts w:hint="eastAsia"/>
              </w:rPr>
              <w:t>全面合理可行的得</w:t>
            </w:r>
            <w:r>
              <w:rPr>
                <w:rFonts w:hint="eastAsia"/>
                <w:lang w:val="en-US" w:eastAsia="zh-CN"/>
              </w:rPr>
              <w:t>4</w:t>
            </w:r>
            <w:r>
              <w:rPr>
                <w:rFonts w:hint="eastAsia"/>
              </w:rPr>
              <w:t>分</w:t>
            </w:r>
            <w:r>
              <w:rPr>
                <w:rFonts w:hint="eastAsia" w:ascii="宋体" w:hAnsi="宋体" w:eastAsia="宋体" w:cs="宋体"/>
                <w:sz w:val="21"/>
                <w:szCs w:val="21"/>
                <w:highlight w:val="none"/>
                <w:lang w:val="en-US" w:eastAsia="zh-CN"/>
              </w:rPr>
              <w:t>；</w:t>
            </w:r>
          </w:p>
          <w:p>
            <w:pPr>
              <w:pStyle w:val="2"/>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微软雅黑"/>
                <w:kern w:val="0"/>
                <w:shd w:val="clear" w:color="auto" w:fill="FFFFFF"/>
              </w:rPr>
              <w:t>有不合理</w:t>
            </w:r>
            <w:r>
              <w:rPr>
                <w:rFonts w:hint="eastAsia" w:ascii="宋体" w:hAnsi="宋体" w:cs="微软雅黑"/>
                <w:kern w:val="0"/>
                <w:shd w:val="clear" w:color="auto" w:fill="FFFFFF"/>
                <w:lang w:eastAsia="zh-CN"/>
              </w:rPr>
              <w:t>一</w:t>
            </w:r>
            <w:r>
              <w:rPr>
                <w:rFonts w:hint="eastAsia" w:ascii="宋体" w:hAnsi="宋体" w:cs="微软雅黑"/>
                <w:kern w:val="0"/>
                <w:shd w:val="clear" w:color="auto" w:fill="FFFFFF"/>
              </w:rPr>
              <w:t>处</w:t>
            </w:r>
            <w:r>
              <w:rPr>
                <w:rFonts w:hint="eastAsia" w:ascii="宋体" w:hAnsi="宋体" w:cs="微软雅黑"/>
                <w:kern w:val="0"/>
                <w:shd w:val="clear" w:color="auto" w:fill="FFFFFF"/>
                <w:lang w:eastAsia="zh-CN"/>
              </w:rPr>
              <w:t>及以上</w:t>
            </w:r>
            <w:r>
              <w:rPr>
                <w:rFonts w:hint="eastAsia" w:ascii="宋体" w:hAnsi="宋体" w:cs="微软雅黑"/>
                <w:kern w:val="0"/>
                <w:shd w:val="clear" w:color="auto" w:fill="FFFFFF"/>
              </w:rPr>
              <w:t>的，或缺乏针对性的</w:t>
            </w:r>
            <w:r>
              <w:rPr>
                <w:rFonts w:hint="eastAsia" w:ascii="宋体" w:hAnsi="宋体" w:cs="微软雅黑"/>
                <w:kern w:val="0"/>
                <w:shd w:val="clear" w:color="auto" w:fill="FFFFFF"/>
                <w:lang w:eastAsia="zh-CN"/>
              </w:rPr>
              <w:t>，</w:t>
            </w:r>
            <w:r>
              <w:rPr>
                <w:rFonts w:hint="eastAsia" w:ascii="宋体" w:hAnsi="宋体" w:cs="微软雅黑"/>
                <w:kern w:val="0"/>
                <w:shd w:val="clear" w:color="auto" w:fill="FFFFFF"/>
              </w:rPr>
              <w:t>得</w:t>
            </w:r>
            <w:r>
              <w:rPr>
                <w:rFonts w:hint="eastAsia" w:ascii="宋体" w:hAnsi="宋体" w:cs="微软雅黑"/>
                <w:kern w:val="0"/>
                <w:shd w:val="clear" w:color="auto" w:fill="FFFFFF"/>
                <w:lang w:val="en-US" w:eastAsia="zh-CN"/>
              </w:rPr>
              <w:t>2</w:t>
            </w:r>
            <w:r>
              <w:rPr>
                <w:rFonts w:hint="eastAsia" w:ascii="宋体" w:hAnsi="宋体" w:cs="微软雅黑"/>
                <w:kern w:val="0"/>
                <w:shd w:val="clear" w:color="auto" w:fill="FFFFFF"/>
              </w:rPr>
              <w:t>分</w:t>
            </w:r>
            <w:r>
              <w:rPr>
                <w:rFonts w:hint="eastAsia" w:ascii="宋体" w:hAnsi="宋体" w:eastAsia="宋体" w:cs="宋体"/>
                <w:sz w:val="21"/>
                <w:szCs w:val="21"/>
                <w:highlight w:val="none"/>
                <w:lang w:val="en-US" w:eastAsia="zh-CN"/>
              </w:rPr>
              <w:t>；</w:t>
            </w:r>
          </w:p>
          <w:p>
            <w:pPr>
              <w:pStyle w:val="2"/>
              <w:numPr>
                <w:ilvl w:val="0"/>
                <w:numId w:val="0"/>
              </w:numPr>
              <w:rPr>
                <w:rFonts w:hint="default" w:ascii="宋体" w:hAnsi="宋体"/>
                <w:sz w:val="21"/>
                <w:szCs w:val="21"/>
                <w:highlight w:val="yellow"/>
                <w:shd w:val="clear" w:color="auto" w:fill="FFFFFF"/>
                <w:lang w:val="en-US" w:eastAsia="zh-CN"/>
              </w:rPr>
            </w:pPr>
            <w:r>
              <w:rPr>
                <w:rFonts w:hint="eastAsia" w:ascii="宋体" w:hAnsi="宋体" w:eastAsia="宋体" w:cs="宋体"/>
                <w:sz w:val="21"/>
                <w:szCs w:val="21"/>
                <w:highlight w:val="none"/>
                <w:lang w:val="en-US" w:eastAsia="zh-CN"/>
              </w:rPr>
              <w:t>（3）</w:t>
            </w:r>
            <w:r>
              <w:rPr>
                <w:rFonts w:hint="eastAsia"/>
              </w:rPr>
              <w:t>未提供方案的不得分</w:t>
            </w:r>
            <w:r>
              <w:rPr>
                <w:rFonts w:hint="eastAsia" w:ascii="宋体" w:hAnsi="宋体" w:eastAsia="宋体" w:cs="宋体"/>
                <w:sz w:val="21"/>
                <w:szCs w:val="21"/>
                <w:highlight w:val="none"/>
                <w:lang w:val="en-US" w:eastAsia="zh-CN"/>
              </w:rPr>
              <w:t>。</w:t>
            </w:r>
          </w:p>
        </w:tc>
      </w:tr>
      <w:tr>
        <w:tblPrEx>
          <w:tblCellMar>
            <w:top w:w="15" w:type="dxa"/>
            <w:left w:w="15" w:type="dxa"/>
            <w:bottom w:w="15" w:type="dxa"/>
            <w:right w:w="15" w:type="dxa"/>
          </w:tblCellMar>
        </w:tblPrEx>
        <w:trPr>
          <w:trHeight w:val="1485" w:hRule="atLeast"/>
          <w:jc w:val="center"/>
        </w:trPr>
        <w:tc>
          <w:tcPr>
            <w:tcW w:w="837" w:type="dxa"/>
            <w:vMerge w:val="continue"/>
            <w:tcBorders>
              <w:left w:val="single" w:color="auto" w:sz="4" w:space="0"/>
              <w:right w:val="single" w:color="auto" w:sz="4" w:space="0"/>
            </w:tcBorders>
            <w:shd w:val="clear" w:color="auto" w:fill="FFFFFF"/>
            <w:noWrap w:val="0"/>
            <w:vAlign w:val="center"/>
          </w:tcPr>
          <w:p>
            <w:pPr>
              <w:pStyle w:val="2"/>
              <w:ind w:left="0" w:leftChars="0" w:firstLine="0" w:firstLineChars="0"/>
            </w:pPr>
          </w:p>
        </w:tc>
        <w:tc>
          <w:tcPr>
            <w:tcW w:w="1198" w:type="dxa"/>
            <w:vMerge w:val="continue"/>
            <w:tcBorders>
              <w:left w:val="single" w:color="auto" w:sz="4" w:space="0"/>
              <w:right w:val="single" w:color="auto" w:sz="4" w:space="0"/>
            </w:tcBorders>
            <w:shd w:val="clear" w:color="auto" w:fill="FFFFFF"/>
            <w:noWrap w:val="0"/>
            <w:vAlign w:val="center"/>
          </w:tcPr>
          <w:p>
            <w:pPr>
              <w:pStyle w:val="2"/>
              <w:ind w:left="0" w:leftChars="0" w:firstLine="0" w:firstLineChars="0"/>
            </w:pPr>
          </w:p>
        </w:tc>
        <w:tc>
          <w:tcPr>
            <w:tcW w:w="909" w:type="dxa"/>
            <w:vMerge w:val="continue"/>
            <w:tcBorders>
              <w:left w:val="single" w:color="auto" w:sz="4" w:space="0"/>
              <w:right w:val="single" w:color="auto" w:sz="4" w:space="0"/>
            </w:tcBorders>
            <w:shd w:val="clear" w:color="auto" w:fill="FFFFFF"/>
            <w:noWrap w:val="0"/>
            <w:vAlign w:val="center"/>
          </w:tcPr>
          <w:p>
            <w:pPr>
              <w:pStyle w:val="2"/>
              <w:ind w:left="0" w:leftChars="0" w:firstLine="0" w:firstLineChars="0"/>
            </w:pP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numPr>
                <w:ilvl w:val="0"/>
                <w:numId w:val="1"/>
              </w:numPr>
              <w:ind w:left="0" w:leftChars="0" w:firstLine="0" w:firstLineChars="0"/>
              <w:rPr>
                <w:rFonts w:hint="eastAsia" w:ascii="宋体" w:hAnsi="宋体" w:eastAsia="宋体" w:cs="宋体"/>
                <w:color w:val="auto"/>
                <w:szCs w:val="21"/>
              </w:rPr>
            </w:pPr>
            <w:r>
              <w:rPr>
                <w:rFonts w:hint="eastAsia" w:ascii="宋体" w:hAnsi="宋体" w:eastAsia="宋体" w:cs="宋体"/>
                <w:color w:val="auto"/>
                <w:szCs w:val="21"/>
              </w:rPr>
              <w:t>供应商需提供完善的售后支持服务，需要在货物验收后提供持续的技术支持，能够提供专人专项快速响应</w:t>
            </w:r>
            <w:r>
              <w:rPr>
                <w:rFonts w:hint="eastAsia" w:ascii="宋体" w:hAnsi="宋体" w:eastAsia="宋体" w:cs="宋体"/>
                <w:color w:val="auto"/>
                <w:szCs w:val="21"/>
                <w:lang w:eastAsia="zh-CN"/>
              </w:rPr>
              <w:t>，</w:t>
            </w:r>
            <w:r>
              <w:rPr>
                <w:rFonts w:hint="eastAsia" w:ascii="宋体" w:hAnsi="宋体" w:eastAsia="宋体" w:cs="宋体"/>
                <w:color w:val="auto"/>
                <w:szCs w:val="21"/>
              </w:rPr>
              <w:t>7*24技术支持服务</w:t>
            </w:r>
            <w:r>
              <w:rPr>
                <w:rFonts w:hint="eastAsia" w:ascii="宋体" w:hAnsi="宋体" w:eastAsia="宋体" w:cs="宋体"/>
                <w:color w:val="auto"/>
                <w:szCs w:val="21"/>
                <w:lang w:eastAsia="zh-CN"/>
              </w:rPr>
              <w:t>，</w:t>
            </w:r>
            <w:r>
              <w:rPr>
                <w:rFonts w:hint="eastAsia" w:ascii="宋体" w:hAnsi="宋体" w:eastAsia="宋体" w:cs="宋体"/>
                <w:color w:val="auto"/>
                <w:szCs w:val="21"/>
              </w:rPr>
              <w:t>包括邮件、电话、现场支持等，重大时刻现场值守服务</w:t>
            </w:r>
            <w:r>
              <w:rPr>
                <w:rFonts w:hint="eastAsia" w:ascii="宋体" w:hAnsi="宋体" w:eastAsia="宋体" w:cs="宋体"/>
                <w:color w:val="auto"/>
                <w:szCs w:val="21"/>
                <w:lang w:eastAsia="zh-CN"/>
              </w:rPr>
              <w:t>。</w:t>
            </w:r>
            <w:r>
              <w:rPr>
                <w:rFonts w:hint="eastAsia" w:ascii="宋体" w:hAnsi="宋体" w:eastAsia="宋体" w:cs="宋体"/>
                <w:color w:val="auto"/>
                <w:szCs w:val="21"/>
              </w:rPr>
              <w:t>支持形式由双方根据需要协商；</w:t>
            </w:r>
          </w:p>
          <w:p>
            <w:pPr>
              <w:pStyle w:val="2"/>
              <w:numPr>
                <w:ilvl w:val="0"/>
                <w:numId w:val="0"/>
              </w:numPr>
              <w:rPr>
                <w:rFonts w:hint="eastAsia" w:ascii="宋体" w:hAnsi="宋体" w:eastAsia="宋体" w:cs="宋体"/>
                <w:sz w:val="21"/>
                <w:szCs w:val="21"/>
                <w:highlight w:val="none"/>
                <w:lang w:val="en-US" w:eastAsia="zh-CN"/>
              </w:rPr>
            </w:pPr>
            <w:r>
              <w:rPr>
                <w:rFonts w:hint="eastAsia"/>
                <w:lang w:eastAsia="zh-CN"/>
              </w:rPr>
              <w:t>（</w:t>
            </w:r>
            <w:r>
              <w:rPr>
                <w:rFonts w:hint="eastAsia"/>
                <w:lang w:val="en-US" w:eastAsia="zh-CN"/>
              </w:rPr>
              <w:t>1</w:t>
            </w:r>
            <w:r>
              <w:rPr>
                <w:rFonts w:hint="eastAsia"/>
                <w:lang w:eastAsia="zh-CN"/>
              </w:rPr>
              <w:t>）</w:t>
            </w:r>
            <w:r>
              <w:rPr>
                <w:rFonts w:hint="eastAsia"/>
              </w:rPr>
              <w:t>全面合理可行的得</w:t>
            </w:r>
            <w:r>
              <w:rPr>
                <w:rFonts w:hint="eastAsia"/>
                <w:lang w:val="en-US" w:eastAsia="zh-CN"/>
              </w:rPr>
              <w:t>4</w:t>
            </w:r>
            <w:r>
              <w:rPr>
                <w:rFonts w:hint="eastAsia"/>
              </w:rPr>
              <w:t>分</w:t>
            </w:r>
            <w:r>
              <w:rPr>
                <w:rFonts w:hint="eastAsia" w:ascii="宋体" w:hAnsi="宋体" w:eastAsia="宋体" w:cs="宋体"/>
                <w:sz w:val="21"/>
                <w:szCs w:val="21"/>
                <w:highlight w:val="none"/>
                <w:lang w:val="en-US" w:eastAsia="zh-CN"/>
              </w:rPr>
              <w:t>；</w:t>
            </w:r>
          </w:p>
          <w:p>
            <w:pPr>
              <w:pStyle w:val="2"/>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微软雅黑"/>
                <w:kern w:val="0"/>
                <w:shd w:val="clear" w:color="auto" w:fill="FFFFFF"/>
              </w:rPr>
              <w:t>有不合理</w:t>
            </w:r>
            <w:r>
              <w:rPr>
                <w:rFonts w:hint="eastAsia" w:ascii="宋体" w:hAnsi="宋体" w:cs="微软雅黑"/>
                <w:kern w:val="0"/>
                <w:shd w:val="clear" w:color="auto" w:fill="FFFFFF"/>
                <w:lang w:eastAsia="zh-CN"/>
              </w:rPr>
              <w:t>一</w:t>
            </w:r>
            <w:r>
              <w:rPr>
                <w:rFonts w:hint="eastAsia" w:ascii="宋体" w:hAnsi="宋体" w:cs="微软雅黑"/>
                <w:kern w:val="0"/>
                <w:shd w:val="clear" w:color="auto" w:fill="FFFFFF"/>
              </w:rPr>
              <w:t>处</w:t>
            </w:r>
            <w:r>
              <w:rPr>
                <w:rFonts w:hint="eastAsia" w:ascii="宋体" w:hAnsi="宋体" w:cs="微软雅黑"/>
                <w:kern w:val="0"/>
                <w:shd w:val="clear" w:color="auto" w:fill="FFFFFF"/>
                <w:lang w:eastAsia="zh-CN"/>
              </w:rPr>
              <w:t>及以上</w:t>
            </w:r>
            <w:r>
              <w:rPr>
                <w:rFonts w:hint="eastAsia" w:ascii="宋体" w:hAnsi="宋体" w:cs="微软雅黑"/>
                <w:kern w:val="0"/>
                <w:shd w:val="clear" w:color="auto" w:fill="FFFFFF"/>
              </w:rPr>
              <w:t>的，或缺乏针对性的</w:t>
            </w:r>
            <w:r>
              <w:rPr>
                <w:rFonts w:hint="eastAsia" w:ascii="宋体" w:hAnsi="宋体" w:cs="微软雅黑"/>
                <w:kern w:val="0"/>
                <w:shd w:val="clear" w:color="auto" w:fill="FFFFFF"/>
                <w:lang w:eastAsia="zh-CN"/>
              </w:rPr>
              <w:t>，</w:t>
            </w:r>
            <w:r>
              <w:rPr>
                <w:rFonts w:hint="eastAsia" w:ascii="宋体" w:hAnsi="宋体" w:cs="微软雅黑"/>
                <w:kern w:val="0"/>
                <w:shd w:val="clear" w:color="auto" w:fill="FFFFFF"/>
              </w:rPr>
              <w:t>得</w:t>
            </w:r>
            <w:r>
              <w:rPr>
                <w:rFonts w:hint="eastAsia" w:ascii="宋体" w:hAnsi="宋体" w:cs="微软雅黑"/>
                <w:kern w:val="0"/>
                <w:shd w:val="clear" w:color="auto" w:fill="FFFFFF"/>
                <w:lang w:val="en-US" w:eastAsia="zh-CN"/>
              </w:rPr>
              <w:t>2</w:t>
            </w:r>
            <w:r>
              <w:rPr>
                <w:rFonts w:hint="eastAsia" w:ascii="宋体" w:hAnsi="宋体" w:cs="微软雅黑"/>
                <w:kern w:val="0"/>
                <w:shd w:val="clear" w:color="auto" w:fill="FFFFFF"/>
              </w:rPr>
              <w:t>分</w:t>
            </w:r>
            <w:r>
              <w:rPr>
                <w:rFonts w:hint="eastAsia" w:ascii="宋体" w:hAnsi="宋体" w:eastAsia="宋体" w:cs="宋体"/>
                <w:sz w:val="21"/>
                <w:szCs w:val="21"/>
                <w:highlight w:val="none"/>
                <w:lang w:val="en-US" w:eastAsia="zh-CN"/>
              </w:rPr>
              <w:t>；</w:t>
            </w:r>
          </w:p>
          <w:p>
            <w:pPr>
              <w:pStyle w:val="2"/>
              <w:numPr>
                <w:ilvl w:val="0"/>
                <w:numId w:val="0"/>
              </w:numPr>
              <w:ind w:leftChars="0"/>
              <w:rPr>
                <w:rFonts w:hint="eastAsia" w:ascii="宋体" w:hAnsi="宋体"/>
                <w:sz w:val="21"/>
                <w:szCs w:val="21"/>
                <w:highlight w:val="none"/>
                <w:shd w:val="clear" w:color="auto" w:fill="FFFFFF"/>
                <w:lang w:val="en-US" w:eastAsia="zh-CN"/>
              </w:rPr>
            </w:pPr>
            <w:r>
              <w:rPr>
                <w:rFonts w:hint="eastAsia" w:ascii="宋体" w:hAnsi="宋体" w:eastAsia="宋体" w:cs="宋体"/>
                <w:sz w:val="21"/>
                <w:szCs w:val="21"/>
                <w:highlight w:val="none"/>
                <w:lang w:val="en-US" w:eastAsia="zh-CN"/>
              </w:rPr>
              <w:t>（3）</w:t>
            </w:r>
            <w:r>
              <w:rPr>
                <w:rFonts w:hint="eastAsia"/>
              </w:rPr>
              <w:t>未提供方案的不得分</w:t>
            </w:r>
            <w:r>
              <w:rPr>
                <w:rFonts w:hint="eastAsia" w:ascii="宋体" w:hAnsi="宋体" w:eastAsia="宋体" w:cs="宋体"/>
                <w:sz w:val="21"/>
                <w:szCs w:val="21"/>
                <w:highlight w:val="none"/>
                <w:lang w:val="en-US" w:eastAsia="zh-CN"/>
              </w:rPr>
              <w:t>。</w:t>
            </w:r>
          </w:p>
        </w:tc>
      </w:tr>
      <w:tr>
        <w:tblPrEx>
          <w:tblCellMar>
            <w:top w:w="15" w:type="dxa"/>
            <w:left w:w="15" w:type="dxa"/>
            <w:bottom w:w="15" w:type="dxa"/>
            <w:right w:w="15" w:type="dxa"/>
          </w:tblCellMar>
        </w:tblPrEx>
        <w:trPr>
          <w:trHeight w:val="1021" w:hRule="atLeast"/>
          <w:jc w:val="center"/>
        </w:trPr>
        <w:tc>
          <w:tcPr>
            <w:tcW w:w="837" w:type="dxa"/>
            <w:vMerge w:val="continue"/>
            <w:tcBorders>
              <w:left w:val="single" w:color="auto" w:sz="4" w:space="0"/>
              <w:bottom w:val="single" w:color="auto" w:sz="4" w:space="0"/>
              <w:right w:val="single" w:color="auto" w:sz="4" w:space="0"/>
            </w:tcBorders>
            <w:shd w:val="clear" w:color="auto" w:fill="FFFFFF"/>
            <w:noWrap w:val="0"/>
            <w:vAlign w:val="center"/>
          </w:tcPr>
          <w:p>
            <w:pPr>
              <w:pStyle w:val="2"/>
              <w:ind w:left="0" w:leftChars="0" w:firstLine="0" w:firstLineChars="0"/>
              <w:rPr>
                <w:rFonts w:hint="eastAsia" w:ascii="宋体" w:hAnsi="宋体"/>
                <w:sz w:val="21"/>
                <w:szCs w:val="21"/>
                <w:highlight w:val="none"/>
                <w:shd w:val="clear" w:color="auto" w:fill="FFFFFF"/>
                <w:lang w:val="en-US" w:eastAsia="zh-CN"/>
              </w:rPr>
            </w:pPr>
          </w:p>
        </w:tc>
        <w:tc>
          <w:tcPr>
            <w:tcW w:w="1198" w:type="dxa"/>
            <w:vMerge w:val="continue"/>
            <w:tcBorders>
              <w:left w:val="single" w:color="auto" w:sz="4" w:space="0"/>
              <w:bottom w:val="single" w:color="auto" w:sz="4" w:space="0"/>
              <w:right w:val="single" w:color="auto" w:sz="4" w:space="0"/>
            </w:tcBorders>
            <w:shd w:val="clear" w:color="auto" w:fill="FFFFFF"/>
            <w:noWrap w:val="0"/>
            <w:vAlign w:val="center"/>
          </w:tcPr>
          <w:p>
            <w:pPr>
              <w:pStyle w:val="2"/>
              <w:ind w:left="0" w:leftChars="0" w:firstLine="0" w:firstLineChars="0"/>
              <w:rPr>
                <w:rFonts w:hint="eastAsia" w:ascii="宋体" w:hAnsi="宋体"/>
                <w:sz w:val="21"/>
                <w:szCs w:val="21"/>
                <w:highlight w:val="none"/>
                <w:shd w:val="clear" w:color="auto" w:fill="FFFFFF"/>
                <w:lang w:val="en-US" w:eastAsia="zh-CN"/>
              </w:rPr>
            </w:pPr>
          </w:p>
        </w:tc>
        <w:tc>
          <w:tcPr>
            <w:tcW w:w="909" w:type="dxa"/>
            <w:vMerge w:val="continue"/>
            <w:tcBorders>
              <w:left w:val="single" w:color="auto" w:sz="4" w:space="0"/>
              <w:bottom w:val="single" w:color="auto" w:sz="4" w:space="0"/>
              <w:right w:val="single" w:color="auto" w:sz="4" w:space="0"/>
            </w:tcBorders>
            <w:shd w:val="clear" w:color="auto" w:fill="FFFFFF"/>
            <w:noWrap w:val="0"/>
            <w:vAlign w:val="center"/>
          </w:tcPr>
          <w:p>
            <w:pPr>
              <w:pStyle w:val="2"/>
              <w:ind w:left="0" w:leftChars="0" w:firstLine="0" w:firstLineChars="0"/>
              <w:rPr>
                <w:rFonts w:hint="eastAsia" w:ascii="宋体" w:hAnsi="宋体"/>
                <w:sz w:val="21"/>
                <w:szCs w:val="21"/>
                <w:highlight w:val="none"/>
                <w:shd w:val="clear" w:color="auto" w:fill="FFFFFF"/>
                <w:lang w:val="en-US" w:eastAsia="zh-CN"/>
              </w:rPr>
            </w:pP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numPr>
                <w:ilvl w:val="0"/>
                <w:numId w:val="0"/>
              </w:numPr>
              <w:ind w:leftChars="0"/>
              <w:rPr>
                <w:rFonts w:hint="default" w:ascii="宋体" w:hAnsi="宋体" w:cs="微软雅黑"/>
                <w:kern w:val="0"/>
                <w:shd w:val="clear" w:color="auto" w:fill="FFFFFF"/>
                <w:lang w:val="en-US" w:eastAsia="zh-CN"/>
              </w:rPr>
            </w:pPr>
            <w:r>
              <w:rPr>
                <w:rFonts w:hint="eastAsia" w:ascii="宋体" w:hAnsi="宋体" w:eastAsia="宋体"/>
                <w:color w:val="auto"/>
                <w:szCs w:val="21"/>
                <w:shd w:val="clear" w:color="auto" w:fill="FFFFFF"/>
                <w:lang w:val="en-US" w:eastAsia="zh-CN"/>
              </w:rPr>
              <w:t>3</w:t>
            </w:r>
            <w:r>
              <w:rPr>
                <w:rFonts w:hint="eastAsia" w:ascii="宋体" w:hAnsi="宋体" w:eastAsia="宋体" w:cs="宋体"/>
                <w:color w:val="auto"/>
                <w:szCs w:val="21"/>
              </w:rPr>
              <w:t>）</w:t>
            </w:r>
            <w:r>
              <w:rPr>
                <w:rFonts w:hint="eastAsia" w:ascii="宋体" w:hAnsi="宋体"/>
                <w:color w:val="auto"/>
                <w:szCs w:val="21"/>
                <w:shd w:val="clear" w:color="auto" w:fill="FFFFFF"/>
              </w:rPr>
              <w:t>提供质保期外的技术维修服务方案及配件供应服务</w:t>
            </w:r>
            <w:r>
              <w:rPr>
                <w:rFonts w:hint="eastAsia" w:ascii="宋体" w:hAnsi="宋体"/>
                <w:color w:val="auto"/>
                <w:szCs w:val="21"/>
                <w:shd w:val="clear" w:color="auto" w:fill="FFFFFF"/>
                <w:lang w:eastAsia="zh-CN"/>
              </w:rPr>
              <w:t>承诺</w:t>
            </w:r>
            <w:r>
              <w:rPr>
                <w:rFonts w:hint="eastAsia" w:ascii="宋体" w:hAnsi="宋体"/>
                <w:color w:val="auto"/>
                <w:szCs w:val="21"/>
                <w:shd w:val="clear" w:color="auto" w:fill="FFFFFF"/>
              </w:rPr>
              <w:t>，得</w:t>
            </w:r>
            <w:r>
              <w:rPr>
                <w:rFonts w:hint="eastAsia" w:ascii="宋体" w:hAnsi="宋体"/>
                <w:color w:val="auto"/>
                <w:szCs w:val="21"/>
                <w:shd w:val="clear" w:color="auto" w:fill="FFFFFF"/>
                <w:lang w:val="en-US" w:eastAsia="zh-CN"/>
              </w:rPr>
              <w:t>3</w:t>
            </w:r>
            <w:r>
              <w:rPr>
                <w:rFonts w:hint="eastAsia" w:ascii="宋体" w:hAnsi="宋体"/>
                <w:color w:val="auto"/>
                <w:szCs w:val="21"/>
                <w:shd w:val="clear" w:color="auto" w:fill="FFFFFF"/>
              </w:rPr>
              <w:t>分；没有承诺不得分。</w:t>
            </w:r>
          </w:p>
        </w:tc>
      </w:tr>
      <w:tr>
        <w:tblPrEx>
          <w:tblCellMar>
            <w:top w:w="15" w:type="dxa"/>
            <w:left w:w="15" w:type="dxa"/>
            <w:bottom w:w="15" w:type="dxa"/>
            <w:right w:w="15" w:type="dxa"/>
          </w:tblCellMar>
        </w:tblPrEx>
        <w:trPr>
          <w:trHeight w:val="606"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五</w:t>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产品认证</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ind w:left="0" w:leftChars="0" w:firstLine="0" w:firstLineChars="0"/>
              <w:rPr>
                <w:rFonts w:hint="eastAsia" w:ascii="宋体" w:hAnsi="宋体"/>
                <w:sz w:val="21"/>
                <w:szCs w:val="21"/>
                <w:highlight w:val="none"/>
                <w:shd w:val="clear" w:color="auto" w:fill="FFFFFF"/>
                <w:lang w:val="en-US" w:eastAsia="zh-CN"/>
              </w:rPr>
            </w:pPr>
            <w:r>
              <w:rPr>
                <w:rFonts w:hint="eastAsia" w:ascii="宋体" w:hAnsi="宋体"/>
                <w:sz w:val="21"/>
                <w:szCs w:val="21"/>
                <w:highlight w:val="none"/>
                <w:shd w:val="clear" w:color="auto" w:fill="FFFFFF"/>
                <w:lang w:val="en-US" w:eastAsia="zh-CN"/>
              </w:rPr>
              <w:t>篮球架生产厂家具有国际篮联认证企业，加5分。</w:t>
            </w:r>
          </w:p>
        </w:tc>
      </w:tr>
      <w:tr>
        <w:tblPrEx>
          <w:tblCellMar>
            <w:top w:w="15" w:type="dxa"/>
            <w:left w:w="15" w:type="dxa"/>
            <w:bottom w:w="15" w:type="dxa"/>
            <w:right w:w="15" w:type="dxa"/>
          </w:tblCellMar>
        </w:tblPrEx>
        <w:trPr>
          <w:trHeight w:val="315"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六</w:t>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价格评分</w:t>
            </w:r>
          </w:p>
          <w:p>
            <w:pPr>
              <w:spacing w:line="300" w:lineRule="exact"/>
              <w:jc w:val="center"/>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30</w:t>
            </w:r>
            <w:r>
              <w:rPr>
                <w:rFonts w:hint="eastAsia" w:ascii="宋体" w:hAnsi="宋体" w:eastAsia="宋体" w:cs="宋体"/>
                <w:kern w:val="0"/>
                <w:sz w:val="21"/>
                <w:szCs w:val="21"/>
              </w:rPr>
              <w:t>）</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最后报价（</w:t>
            </w:r>
            <w:r>
              <w:rPr>
                <w:rFonts w:hint="eastAsia" w:ascii="宋体" w:hAnsi="宋体" w:eastAsia="宋体" w:cs="宋体"/>
                <w:kern w:val="0"/>
                <w:sz w:val="21"/>
                <w:szCs w:val="21"/>
                <w:lang w:val="en-US" w:eastAsia="zh-CN"/>
              </w:rPr>
              <w:t>30</w:t>
            </w:r>
            <w:r>
              <w:rPr>
                <w:rFonts w:hint="eastAsia" w:ascii="宋体" w:hAnsi="宋体" w:eastAsia="宋体" w:cs="宋体"/>
                <w:kern w:val="0"/>
                <w:sz w:val="21"/>
                <w:szCs w:val="21"/>
              </w:rPr>
              <w:t>）</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满足磋商文件中要求且最后报价最低的供应商的价格为磋商基准价，其价格分为满分。其他供应商的价格分统一按照下列公式计算：</w:t>
            </w:r>
          </w:p>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磋商报价得分=（磋商基准价/最后磋商报价）×30%×100</w:t>
            </w:r>
          </w:p>
          <w:p>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kern w:val="0"/>
                <w:sz w:val="21"/>
                <w:szCs w:val="21"/>
              </w:rPr>
              <w:t>(计算结果保留至小数点后两位)</w:t>
            </w:r>
          </w:p>
        </w:tc>
      </w:tr>
      <w:tr>
        <w:tblPrEx>
          <w:tblCellMar>
            <w:top w:w="15" w:type="dxa"/>
            <w:left w:w="15" w:type="dxa"/>
            <w:bottom w:w="15" w:type="dxa"/>
            <w:right w:w="15" w:type="dxa"/>
          </w:tblCellMar>
        </w:tblPrEx>
        <w:trPr>
          <w:trHeight w:val="315"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sz w:val="21"/>
                <w:szCs w:val="21"/>
              </w:rPr>
            </w:pP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合计</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100</w:t>
            </w:r>
          </w:p>
        </w:tc>
        <w:tc>
          <w:tcPr>
            <w:tcW w:w="50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eastAsia="宋体" w:cs="宋体"/>
                <w:kern w:val="0"/>
                <w:sz w:val="21"/>
                <w:szCs w:val="21"/>
              </w:rPr>
            </w:pPr>
          </w:p>
        </w:tc>
      </w:tr>
    </w:tbl>
    <w:p>
      <w:pPr>
        <w:snapToGrid w:val="0"/>
        <w:spacing w:line="360" w:lineRule="auto"/>
        <w:ind w:firstLine="461" w:firstLineChars="218"/>
        <w:rPr>
          <w:rFonts w:hint="eastAsia" w:ascii="宋体" w:hAnsi="宋体" w:eastAsia="宋体" w:cs="宋体"/>
          <w:sz w:val="21"/>
          <w:szCs w:val="21"/>
          <w:highlight w:val="none"/>
        </w:rPr>
      </w:pPr>
    </w:p>
    <w:p>
      <w:pPr>
        <w:snapToGrid w:val="0"/>
        <w:spacing w:line="360" w:lineRule="auto"/>
        <w:ind w:firstLine="461" w:firstLineChars="218"/>
        <w:rPr>
          <w:rFonts w:hint="eastAsia" w:ascii="宋体" w:hAnsi="宋体" w:eastAsia="宋体" w:cs="宋体"/>
          <w:sz w:val="21"/>
          <w:szCs w:val="21"/>
          <w:highlight w:val="none"/>
        </w:rPr>
      </w:pPr>
    </w:p>
    <w:p>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二十、</w:t>
      </w:r>
      <w:r>
        <w:rPr>
          <w:rFonts w:hint="eastAsia" w:ascii="宋体" w:hAnsi="宋体" w:eastAsia="宋体" w:cs="宋体"/>
          <w:b/>
          <w:sz w:val="24"/>
          <w:szCs w:val="24"/>
          <w:highlight w:val="none"/>
        </w:rPr>
        <w:t>确定成交供应商的原则</w:t>
      </w:r>
    </w:p>
    <w:p>
      <w:pPr>
        <w:snapToGrid w:val="0"/>
        <w:spacing w:line="360" w:lineRule="auto"/>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将供应商的综合得分按从高到低顺序排列，排在第一位的即为成交候选供应商。得分相同时，按最后报价由低到高顺序推荐；得分相同且最后报价相同的，按技术</w:t>
      </w:r>
      <w:r>
        <w:rPr>
          <w:rFonts w:hint="eastAsia" w:ascii="宋体" w:hAnsi="宋体" w:eastAsia="宋体" w:cs="宋体"/>
          <w:sz w:val="21"/>
          <w:szCs w:val="21"/>
          <w:highlight w:val="none"/>
          <w:lang w:eastAsia="zh-CN"/>
        </w:rPr>
        <w:t>部分得分由高到低的</w:t>
      </w:r>
      <w:r>
        <w:rPr>
          <w:rFonts w:hint="eastAsia" w:ascii="宋体" w:hAnsi="宋体" w:eastAsia="宋体" w:cs="宋体"/>
          <w:sz w:val="21"/>
          <w:szCs w:val="21"/>
          <w:highlight w:val="none"/>
        </w:rPr>
        <w:t>顺序推荐</w:t>
      </w:r>
      <w:r>
        <w:rPr>
          <w:rFonts w:hint="eastAsia" w:ascii="宋体" w:hAnsi="宋体" w:eastAsia="宋体" w:cs="宋体"/>
          <w:sz w:val="21"/>
          <w:szCs w:val="21"/>
          <w:highlight w:val="none"/>
          <w:lang w:eastAsia="zh-CN"/>
        </w:rPr>
        <w:t>；技术部分得分也相同的，由采购人委托磋商小组采取随机抽取的方式确定成交供应商。</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1、磋商小组依据评审方法和原则确定成交供应商。</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2、如供应商对成交结果有异议，请当场以书面形式提出，由磋商小组以书面形式进行回复，其他任何形式的回复无效。</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3、排名第一的成交候选人不与采购人签订合同的，采购人可以按原磋商小组提出的成交候选人名单排序依次限价顺延其他成交候选人为成交人。</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4、成交公告和成交通知书</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代理机构负责发布成交公告，同时向成交供应商发出《成交通知书》，《成交通知书》是《合同》的一个组成部分。</w:t>
      </w:r>
    </w:p>
    <w:p>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二十一、合同的签订</w:t>
      </w:r>
    </w:p>
    <w:p>
      <w:pPr>
        <w:pStyle w:val="17"/>
        <w:spacing w:before="0" w:beforeAutospacing="0" w:after="0" w:afterAutospacing="0"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（一）成交供应商应按《成交通知书》规定的时间与采购人签订采购合同，所签订的合同不得对竞争性磋商文件和成交供应商响应文件作实质性修改；</w:t>
      </w:r>
    </w:p>
    <w:p>
      <w:pPr>
        <w:pStyle w:val="17"/>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（二）采购人不得向成交人提出任何不合理的要求，作为签订合同的条件，不得与成交人私下订立违背合同实质性内容的协议；</w:t>
      </w:r>
    </w:p>
    <w:p>
      <w:pPr>
        <w:pStyle w:val="17"/>
        <w:spacing w:before="0" w:beforeAutospacing="0" w:after="0" w:afterAutospacing="0" w:line="360" w:lineRule="auto"/>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（三）竞争性磋商文件、成交供应商响应文件及评审过程中有关澄清文件均为合同的必要组成部分，与合同具有同等法律效力；</w:t>
      </w:r>
    </w:p>
    <w:p>
      <w:pPr>
        <w:pStyle w:val="17"/>
        <w:spacing w:before="0" w:beforeAutospacing="0" w:after="0" w:afterAutospacing="0" w:line="360" w:lineRule="auto"/>
        <w:ind w:firstLine="424" w:firstLineChars="200"/>
        <w:rPr>
          <w:rFonts w:hint="eastAsia" w:ascii="宋体" w:hAnsi="宋体" w:eastAsia="宋体" w:cs="宋体"/>
          <w:sz w:val="24"/>
          <w:szCs w:val="24"/>
          <w:highlight w:val="none"/>
        </w:rPr>
      </w:pPr>
      <w:r>
        <w:rPr>
          <w:rFonts w:hint="eastAsia" w:ascii="宋体" w:hAnsi="宋体" w:eastAsia="宋体" w:cs="宋体"/>
          <w:sz w:val="21"/>
          <w:szCs w:val="21"/>
          <w:highlight w:val="none"/>
        </w:rPr>
        <w:t>（四）采购人负责合同的审核、签订、履约及验收工作，相关监管部门负责对合同签订、合同履约及验收进行监督检查</w:t>
      </w:r>
      <w:r>
        <w:rPr>
          <w:rFonts w:hint="eastAsia" w:ascii="宋体" w:hAnsi="宋体" w:eastAsia="宋体" w:cs="宋体"/>
          <w:sz w:val="24"/>
          <w:szCs w:val="24"/>
          <w:highlight w:val="none"/>
        </w:rPr>
        <w:t>。</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二十二、履约金</w:t>
      </w:r>
    </w:p>
    <w:p>
      <w:pPr>
        <w:snapToGrid w:val="0"/>
        <w:spacing w:line="360" w:lineRule="auto"/>
        <w:ind w:firstLine="530" w:firstLineChars="250"/>
        <w:rPr>
          <w:rFonts w:hint="default" w:ascii="宋体" w:hAnsi="宋体" w:eastAsia="宋体" w:cs="宋体"/>
          <w:kern w:val="0"/>
          <w:sz w:val="21"/>
          <w:szCs w:val="21"/>
          <w:highlight w:val="none"/>
          <w:lang w:val="en-US"/>
        </w:rPr>
      </w:pPr>
      <w:r>
        <w:rPr>
          <w:rFonts w:hint="eastAsia" w:ascii="宋体" w:hAnsi="宋体" w:eastAsia="宋体" w:cs="宋体"/>
          <w:kern w:val="0"/>
          <w:sz w:val="21"/>
          <w:szCs w:val="21"/>
          <w:highlight w:val="none"/>
        </w:rPr>
        <w:t>履约保证金按合同额</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kern w:val="0"/>
          <w:sz w:val="21"/>
          <w:szCs w:val="21"/>
          <w:highlight w:val="none"/>
        </w:rPr>
        <w:t>缴纳，协议合同前汇入甲方指定账户，货物验收合格且发放完毕后5个工作日内甲方无息返还乙方</w:t>
      </w:r>
      <w:r>
        <w:rPr>
          <w:rFonts w:hint="default" w:ascii="宋体" w:hAnsi="宋体" w:eastAsia="宋体" w:cs="宋体"/>
          <w:kern w:val="0"/>
          <w:sz w:val="21"/>
          <w:szCs w:val="21"/>
          <w:highlight w:val="none"/>
          <w:lang w:val="en-US"/>
        </w:rPr>
        <w:t>.</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二十三、资金结算</w:t>
      </w:r>
    </w:p>
    <w:p>
      <w:pPr>
        <w:snapToGrid w:val="0"/>
        <w:spacing w:line="360" w:lineRule="auto"/>
        <w:ind w:firstLine="212" w:firstLineChars="100"/>
        <w:rPr>
          <w:rFonts w:ascii="宋体" w:hAnsi="宋体" w:eastAsia="宋体" w:cs="宋体"/>
          <w:bCs/>
          <w:szCs w:val="21"/>
        </w:rPr>
      </w:pPr>
      <w:r>
        <w:rPr>
          <w:rFonts w:hint="eastAsia" w:ascii="宋体" w:hAnsi="宋体" w:eastAsia="宋体" w:cs="宋体"/>
          <w:bCs/>
          <w:szCs w:val="21"/>
        </w:rPr>
        <w:t>合同签订后首付款不低于合同总价款的30%，货到现场安装调试验收合格后付款合同额的**%，留合同额的**%作为质保金，预留**个月。</w:t>
      </w:r>
    </w:p>
    <w:p>
      <w:pPr>
        <w:spacing w:line="240" w:lineRule="atLeast"/>
        <w:ind w:firstLine="424" w:firstLineChars="200"/>
        <w:rPr>
          <w:rFonts w:hint="eastAsia" w:ascii="宋体" w:hAnsi="宋体" w:eastAsia="宋体" w:cs="宋体"/>
          <w:b w:val="0"/>
          <w:bCs/>
          <w:kern w:val="0"/>
          <w:sz w:val="21"/>
          <w:szCs w:val="21"/>
          <w:highlight w:val="none"/>
        </w:rPr>
      </w:pPr>
    </w:p>
    <w:p>
      <w:pPr>
        <w:snapToGrid w:val="0"/>
        <w:spacing w:line="360" w:lineRule="auto"/>
        <w:ind w:firstLine="887" w:firstLineChars="419"/>
        <w:rPr>
          <w:rFonts w:hint="eastAsia" w:ascii="宋体" w:hAnsi="宋体" w:eastAsia="宋体" w:cs="宋体"/>
          <w:sz w:val="21"/>
          <w:szCs w:val="21"/>
          <w:highlight w:val="yellow"/>
        </w:rPr>
      </w:pPr>
    </w:p>
    <w:p>
      <w:pPr>
        <w:snapToGrid w:val="0"/>
        <w:spacing w:line="360" w:lineRule="auto"/>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bookmarkStart w:id="57" w:name="_Toc26551"/>
    </w:p>
    <w:p>
      <w:pPr>
        <w:snapToGrid w:val="0"/>
        <w:spacing w:line="360" w:lineRule="auto"/>
        <w:jc w:val="center"/>
        <w:outlineLvl w:val="0"/>
        <w:rPr>
          <w:rFonts w:hint="eastAsia" w:ascii="宋体" w:hAnsi="宋体" w:eastAsia="宋体" w:cs="宋体"/>
          <w:sz w:val="21"/>
          <w:szCs w:val="21"/>
          <w:highlight w:val="none"/>
        </w:rPr>
      </w:pPr>
    </w:p>
    <w:p>
      <w:pPr>
        <w:snapToGrid w:val="0"/>
        <w:spacing w:line="360" w:lineRule="auto"/>
        <w:jc w:val="center"/>
        <w:outlineLvl w:val="0"/>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第三部分  货物清单及技术参数或服务要求</w:t>
      </w:r>
      <w:bookmarkEnd w:id="57"/>
    </w:p>
    <w:tbl>
      <w:tblPr>
        <w:tblStyle w:val="19"/>
        <w:tblW w:w="9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857"/>
        <w:gridCol w:w="6593"/>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序号</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货物</w:t>
            </w:r>
          </w:p>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名称</w:t>
            </w:r>
          </w:p>
        </w:tc>
        <w:tc>
          <w:tcPr>
            <w:tcW w:w="6593" w:type="dxa"/>
            <w:vAlign w:val="center"/>
          </w:tcPr>
          <w:p>
            <w:pPr>
              <w:spacing w:line="240" w:lineRule="atLeast"/>
              <w:ind w:firstLine="424" w:firstLineChars="200"/>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技术要求</w:t>
            </w:r>
          </w:p>
        </w:tc>
        <w:tc>
          <w:tcPr>
            <w:tcW w:w="645"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数量</w:t>
            </w:r>
          </w:p>
        </w:tc>
        <w:tc>
          <w:tcPr>
            <w:tcW w:w="660"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移动式足球门</w:t>
            </w:r>
          </w:p>
        </w:tc>
        <w:tc>
          <w:tcPr>
            <w:tcW w:w="6593"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lang w:val="en-US" w:eastAsia="zh-CN"/>
              </w:rPr>
              <w:t>▲</w:t>
            </w:r>
            <w:r>
              <w:rPr>
                <w:rFonts w:hint="eastAsia" w:ascii="宋体" w:hAnsi="宋体" w:eastAsia="宋体" w:cs="宋体"/>
                <w:b w:val="0"/>
                <w:bCs/>
                <w:kern w:val="0"/>
                <w:sz w:val="21"/>
                <w:szCs w:val="21"/>
                <w:highlight w:val="none"/>
              </w:rPr>
              <w:t>1、球门内径规格：长×高×深=7320×2440×2650（㎜）</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2、足球门由立杆、横梁、两侧撑杆、两侧横杆和后侧横杆组成。</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3、球门立杆和横梁均采用不低于φ120×4（㎜）优质钢管制成，上设网勾，置网方便，球网系线柱两侧撑杆采用不低于φ48×2.75（㎜）的钢管制成，两侧横杆和后侧横杆均采用不低于□100×40×3方管制作。</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4、产品涂层厚度70-80um，铅笔硬度达3H+或以上。产品具有耐酸碱、耐湿热、抗老化等优点</w:t>
            </w:r>
          </w:p>
        </w:tc>
        <w:tc>
          <w:tcPr>
            <w:tcW w:w="645"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5</w:t>
            </w:r>
          </w:p>
        </w:tc>
        <w:tc>
          <w:tcPr>
            <w:tcW w:w="660"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2</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主客队替补席</w:t>
            </w:r>
          </w:p>
        </w:tc>
        <w:tc>
          <w:tcPr>
            <w:tcW w:w="6593"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1、足球防护棚（6座）规格：长×宽×高≥3520×1400×1900（㎜）。</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2、防护棚框底框主要采用不低于□75×75×4（㎜）铝管和不低于□50×50×3（㎜）角铝拼焊而成，门框由不低于□80×60×3（㎜）铝型材拼焊而成，顶框由不低于口40×40×2（㎜）铝管拼焊而成，通过螺栓将底框与门框、顶框连接，顶框上覆透明耐击板。</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3、防护棚座椅选用豪华软包椅，框架采用厚度为不低于2.0mm钢管拼焊而成,再注入耐用的泡沫材料，最后使用真皮高强度外罩包裹，并具有防震功能。</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4、产品涂层厚度70-80um，铅笔硬度达3H+或以上。产品具有耐酸碱、耐湿热、抗老化等优点</w:t>
            </w:r>
          </w:p>
        </w:tc>
        <w:tc>
          <w:tcPr>
            <w:tcW w:w="645"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5</w:t>
            </w:r>
          </w:p>
        </w:tc>
        <w:tc>
          <w:tcPr>
            <w:tcW w:w="660"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组（6座）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3</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角旗</w:t>
            </w:r>
          </w:p>
        </w:tc>
        <w:tc>
          <w:tcPr>
            <w:tcW w:w="6593"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1、角旗旗杆采用不低于￠31.5×2（㎜）玻璃钢圆管制成</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2、角旗旗面规格：长×宽=500×400（㎜），采用黄色旗布</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3、角旗预埋件采用不低于φ32×2（㎜）圆管制作</w:t>
            </w:r>
          </w:p>
        </w:tc>
        <w:tc>
          <w:tcPr>
            <w:tcW w:w="645"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20</w:t>
            </w:r>
          </w:p>
        </w:tc>
        <w:tc>
          <w:tcPr>
            <w:tcW w:w="660"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4</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换人牌</w:t>
            </w:r>
          </w:p>
        </w:tc>
        <w:tc>
          <w:tcPr>
            <w:tcW w:w="6593"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1、点阵发光管经过严格分光分色；</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2、线路板采用大规模集成电路，以确保换人牌的可靠性，集成电路芯片采用MOTOROLA，PHILIPS，ST等国际知名公司芯片；</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3、元器件采用波峰焊或SMT表面焊，焊点牢固可靠；</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4、结构采用单元件标准设计，便于安装维护；</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5、结构尺寸：712×313×50mm；</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6、采用Φ5红、绿高亮度发光管，点间距10mm；</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7、使用电源为品牌5号电池，16节；</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8、可视角度：≥150°；</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9、重量：≥3.9㎏；</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lang w:val="en-US" w:eastAsia="zh-CN"/>
              </w:rPr>
              <w:t>▲</w:t>
            </w:r>
            <w:r>
              <w:rPr>
                <w:rFonts w:hint="eastAsia" w:ascii="宋体" w:hAnsi="宋体" w:eastAsia="宋体" w:cs="宋体"/>
                <w:b w:val="0"/>
                <w:bCs/>
                <w:kern w:val="0"/>
                <w:sz w:val="21"/>
                <w:szCs w:val="21"/>
                <w:highlight w:val="none"/>
              </w:rPr>
              <w:t>10、使用寿命：＞3万小时；</w:t>
            </w:r>
          </w:p>
        </w:tc>
        <w:tc>
          <w:tcPr>
            <w:tcW w:w="645"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5</w:t>
            </w:r>
          </w:p>
        </w:tc>
        <w:tc>
          <w:tcPr>
            <w:tcW w:w="660"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5</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七人制足球门（移动式）</w:t>
            </w:r>
          </w:p>
        </w:tc>
        <w:tc>
          <w:tcPr>
            <w:tcW w:w="6593"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lang w:val="en-US" w:eastAsia="zh-CN"/>
              </w:rPr>
              <w:t>▲</w:t>
            </w:r>
            <w:r>
              <w:rPr>
                <w:rFonts w:hint="eastAsia" w:ascii="宋体" w:hAnsi="宋体" w:eastAsia="宋体" w:cs="宋体"/>
                <w:b w:val="0"/>
                <w:bCs/>
                <w:kern w:val="0"/>
                <w:sz w:val="21"/>
                <w:szCs w:val="21"/>
                <w:highlight w:val="none"/>
              </w:rPr>
              <w:t>1、球门内净基本尺寸：长×高=5000×2000（㎜）</w:t>
            </w:r>
            <w:r>
              <w:rPr>
                <w:rFonts w:hint="eastAsia" w:ascii="宋体" w:hAnsi="宋体" w:eastAsia="宋体" w:cs="宋体"/>
                <w:b w:val="0"/>
                <w:bCs/>
                <w:kern w:val="0"/>
                <w:sz w:val="21"/>
                <w:szCs w:val="21"/>
                <w:highlight w:val="none"/>
              </w:rPr>
              <w:br w:type="page"/>
            </w:r>
            <w:r>
              <w:rPr>
                <w:rFonts w:hint="eastAsia" w:ascii="宋体" w:hAnsi="宋体" w:eastAsia="宋体" w:cs="宋体"/>
                <w:b w:val="0"/>
                <w:bCs/>
                <w:kern w:val="0"/>
                <w:sz w:val="21"/>
                <w:szCs w:val="21"/>
                <w:highlight w:val="none"/>
              </w:rPr>
              <w:t>；</w:t>
            </w:r>
          </w:p>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2、球门立杆和横梁均采用不低于φ89×2.75（㎜）优质钢管制成，上设网勾，置网方便，球网系线柱两侧撑杆采用不低于φ32×2（㎜）的钢管制成，两侧横杆和后侧横杆均采用不低于□80×40×2.5（㎜）方管制作。</w:t>
            </w:r>
            <w:r>
              <w:rPr>
                <w:rFonts w:hint="eastAsia" w:ascii="宋体" w:hAnsi="宋体" w:eastAsia="宋体" w:cs="宋体"/>
                <w:b w:val="0"/>
                <w:bCs/>
                <w:kern w:val="0"/>
                <w:sz w:val="21"/>
                <w:szCs w:val="21"/>
                <w:highlight w:val="none"/>
              </w:rPr>
              <w:br w:type="page"/>
            </w:r>
          </w:p>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3、产品涂层厚度70-80um，铅笔硬度达3H+或以上。产品具有耐酸碱、耐湿热、抗老化等优点</w:t>
            </w:r>
          </w:p>
        </w:tc>
        <w:tc>
          <w:tcPr>
            <w:tcW w:w="645"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10</w:t>
            </w:r>
          </w:p>
        </w:tc>
        <w:tc>
          <w:tcPr>
            <w:tcW w:w="660"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6</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技术官员坐席</w:t>
            </w:r>
          </w:p>
        </w:tc>
        <w:tc>
          <w:tcPr>
            <w:tcW w:w="6593"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1、足球防护棚（4座）规格：长×宽×高≥2250×1300×2050（㎜）。</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2、防护棚框架主要采用不低于□60×40×2.75（㎜）、不低于□50×40×2.5（㎜）焊方管、不低于□40×40×2（㎜）铝管拼焊而成，上覆透明耐击板</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3、防护棚座椅选用高密度聚乙烯为原料，加以抗老化剂等配合料，采用中空吹塑制造工艺，在中空吹塑机上一次吹塑成型，强度高、抗冲击性、耐候性好、耐酸碱，抗静电，耐磨，不积水，颜色稳定等特点。</w:t>
            </w:r>
          </w:p>
        </w:tc>
        <w:tc>
          <w:tcPr>
            <w:tcW w:w="645"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5</w:t>
            </w:r>
          </w:p>
        </w:tc>
        <w:tc>
          <w:tcPr>
            <w:tcW w:w="660"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组（4座/组)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7</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篮球架</w:t>
            </w:r>
          </w:p>
        </w:tc>
        <w:tc>
          <w:tcPr>
            <w:tcW w:w="6593"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1、产品规格：篮球架伸臂长2.25m，篮圈上沿离地面3050±6mm；</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2、球架立柱采用定制不低于□180×180×4（㎜）优质大圆角方管制作，圆角R40mm，篮架伸臂采用不低于δ3进口优质铁板一次冲压成型</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lang w:val="en-US" w:eastAsia="zh-CN"/>
              </w:rPr>
              <w:t>▲</w:t>
            </w:r>
            <w:r>
              <w:rPr>
                <w:rFonts w:hint="eastAsia" w:ascii="宋体" w:hAnsi="宋体" w:eastAsia="宋体" w:cs="宋体"/>
                <w:b w:val="0"/>
                <w:bCs/>
                <w:kern w:val="0"/>
                <w:sz w:val="21"/>
                <w:szCs w:val="21"/>
                <w:highlight w:val="none"/>
              </w:rPr>
              <w:t>3、篮板规格：篮板高：1050-1070（mm），篮板宽：1800-1830（mm），篮板配用国际通用的高强度安全玻璃篮板</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4、篮圈采用不低于φ17（㎜）实心圆钢制作，配篮网</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5、产品涂层厚度70—80um，铅笔硬度达3H+或以上。产品具有耐酸碱、耐湿热、抗老化等优点</w:t>
            </w:r>
          </w:p>
        </w:tc>
        <w:tc>
          <w:tcPr>
            <w:tcW w:w="645"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20</w:t>
            </w:r>
          </w:p>
        </w:tc>
        <w:tc>
          <w:tcPr>
            <w:tcW w:w="660"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8</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篮球裁判计时计分器</w:t>
            </w:r>
          </w:p>
        </w:tc>
        <w:tc>
          <w:tcPr>
            <w:tcW w:w="6593"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1、便携式小型电子计分牌计时，二十四秒显示器根据最新国际篮球竞赛规则设计制作。</w:t>
            </w:r>
          </w:p>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2、比赛计时、篮球24秒和14秒功能。</w:t>
            </w:r>
          </w:p>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3、分数、发球数和发球方指示：显示发球数和比赛分数。</w:t>
            </w:r>
          </w:p>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4、秒表比赛、局计时：显示剩余的比赛时间和每局已经过去的时间。</w:t>
            </w:r>
          </w:p>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5、回合、休息倒计时：连续显示回合数和剩余时间。</w:t>
            </w:r>
          </w:p>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6、电子节拍数程控时钟：时间可以按节连续倒计。</w:t>
            </w:r>
          </w:p>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7、时钟、闹时：24小时制格式。</w:t>
            </w:r>
          </w:p>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lang w:val="en-US" w:eastAsia="zh-CN"/>
              </w:rPr>
              <w:t>■</w:t>
            </w:r>
            <w:r>
              <w:rPr>
                <w:rFonts w:hint="eastAsia" w:ascii="宋体" w:hAnsi="宋体" w:eastAsia="宋体" w:cs="宋体"/>
                <w:b w:val="0"/>
                <w:bCs/>
                <w:kern w:val="0"/>
                <w:sz w:val="21"/>
                <w:szCs w:val="21"/>
                <w:highlight w:val="none"/>
              </w:rPr>
              <w:t>8、须与原有篮球计时裁判系统</w:t>
            </w:r>
            <w:r>
              <w:rPr>
                <w:rFonts w:hint="eastAsia" w:ascii="宋体" w:hAnsi="宋体" w:eastAsia="宋体" w:cs="宋体"/>
                <w:b w:val="0"/>
                <w:bCs/>
                <w:kern w:val="0"/>
                <w:sz w:val="21"/>
                <w:szCs w:val="21"/>
                <w:highlight w:val="none"/>
                <w:lang w:eastAsia="zh-CN"/>
              </w:rPr>
              <w:t>（金陵）</w:t>
            </w:r>
            <w:r>
              <w:rPr>
                <w:rFonts w:hint="eastAsia" w:ascii="宋体" w:hAnsi="宋体" w:eastAsia="宋体" w:cs="宋体"/>
                <w:b w:val="0"/>
                <w:bCs/>
                <w:kern w:val="0"/>
                <w:sz w:val="21"/>
                <w:szCs w:val="21"/>
                <w:highlight w:val="none"/>
              </w:rPr>
              <w:t>无障碍通讯，</w:t>
            </w:r>
            <w:r>
              <w:rPr>
                <w:rFonts w:hint="eastAsia" w:ascii="宋体" w:hAnsi="宋体" w:eastAsia="宋体" w:cs="宋体"/>
                <w:b w:val="0"/>
                <w:bCs/>
                <w:kern w:val="0"/>
                <w:sz w:val="21"/>
                <w:szCs w:val="21"/>
                <w:highlight w:val="none"/>
                <w:lang w:eastAsia="zh-CN"/>
              </w:rPr>
              <w:t>（需提供证明材料）</w:t>
            </w:r>
            <w:r>
              <w:rPr>
                <w:rFonts w:hint="eastAsia" w:ascii="宋体" w:hAnsi="宋体" w:eastAsia="宋体" w:cs="宋体"/>
                <w:b w:val="0"/>
                <w:bCs/>
                <w:kern w:val="0"/>
                <w:sz w:val="21"/>
                <w:szCs w:val="21"/>
                <w:highlight w:val="none"/>
              </w:rPr>
              <w:t>。</w:t>
            </w:r>
          </w:p>
        </w:tc>
        <w:tc>
          <w:tcPr>
            <w:tcW w:w="645"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2</w:t>
            </w:r>
          </w:p>
        </w:tc>
        <w:tc>
          <w:tcPr>
            <w:tcW w:w="660"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9</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裁判椅</w:t>
            </w:r>
          </w:p>
        </w:tc>
        <w:tc>
          <w:tcPr>
            <w:tcW w:w="6593"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1、规格：长×宽×高×椅面高≥760×1420×3415×2145（㎜）</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2、裁判椅框架采用不低于70×30×2（㎜）铝平椭管方管和不低于38×25×2（㎜）铝管制作、支架上部设有搁手板</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3、顶棚采用不低于30×30×2（㎜）铝管制作</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4、产品涂层厚度70—80um，铅笔硬度达3H+或以上。产品具有耐酸碱、耐湿热、抗老化等优点</w:t>
            </w:r>
          </w:p>
        </w:tc>
        <w:tc>
          <w:tcPr>
            <w:tcW w:w="645"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9</w:t>
            </w:r>
          </w:p>
        </w:tc>
        <w:tc>
          <w:tcPr>
            <w:tcW w:w="660"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10</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运动员坐椅</w:t>
            </w:r>
          </w:p>
        </w:tc>
        <w:tc>
          <w:tcPr>
            <w:tcW w:w="6593"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1、规格：长×宽×高×椅面高≥1660×1000×2000（㎜）</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2、框架主要采用不低于</w:t>
            </w:r>
            <w:r>
              <w:rPr>
                <w:rFonts w:hint="eastAsia" w:ascii="宋体" w:hAnsi="宋体" w:eastAsia="宋体" w:cs="宋体"/>
                <w:b w:val="0"/>
                <w:bCs/>
                <w:kern w:val="0"/>
                <w:sz w:val="21"/>
                <w:szCs w:val="21"/>
                <w:highlight w:val="none"/>
              </w:rPr>
              <w:sym w:font="Wingdings 2" w:char="00A3"/>
            </w:r>
            <w:r>
              <w:rPr>
                <w:rFonts w:hint="eastAsia" w:ascii="宋体" w:hAnsi="宋体" w:eastAsia="宋体" w:cs="宋体"/>
                <w:b w:val="0"/>
                <w:bCs/>
                <w:kern w:val="0"/>
                <w:sz w:val="21"/>
                <w:szCs w:val="21"/>
                <w:highlight w:val="none"/>
              </w:rPr>
              <w:t>40×25×2（㎜）、25×25×2（㎜）方管和不低于80×40×2（㎜）平椭圆管制作，顶棚采用不低于30x×30×2（㎜）焊管拼焊而成，上覆透明耐击板</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3、产品涂层厚度70—80um，铅笔硬度达3H+或以上。产品具有耐酸碱、耐湿热、抗老化等优点</w:t>
            </w:r>
          </w:p>
        </w:tc>
        <w:tc>
          <w:tcPr>
            <w:tcW w:w="645"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9</w:t>
            </w:r>
          </w:p>
        </w:tc>
        <w:tc>
          <w:tcPr>
            <w:tcW w:w="660"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张（3座）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11</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终点裁判台</w:t>
            </w:r>
          </w:p>
        </w:tc>
        <w:tc>
          <w:tcPr>
            <w:tcW w:w="6593"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1.终点裁判台可以自由伸缩。裁判台收缩，占地面积为:长×宽×高≥2500×1720×2200（㎜）；使用时，裁判台拉伸， 此时占地面积为:长×宽×高≥3660×1720×2200（㎜）。</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2、裁判台上设有扶手栏杆，扶手栏杆采用不低于Φ32、Φ25圆管拼焊制作。</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3.裁判台上7个踏步，踏步规格：长×宽×高≥1600×500×250（㎜）。第一踏步采用方管与花纹铁板，能够防滑；</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4.裁判台上装有支撑脚与走轮，通过手柄控制</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5.产品涂层厚度70—80um，铅笔硬度达3H+或以上。产品具有耐酸碱、耐湿热、抗老化等优点</w:t>
            </w:r>
          </w:p>
        </w:tc>
        <w:tc>
          <w:tcPr>
            <w:tcW w:w="645"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2</w:t>
            </w:r>
          </w:p>
        </w:tc>
        <w:tc>
          <w:tcPr>
            <w:tcW w:w="660"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12</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防风网</w:t>
            </w:r>
          </w:p>
        </w:tc>
        <w:tc>
          <w:tcPr>
            <w:tcW w:w="6593"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lang w:val="en-US" w:eastAsia="zh-CN"/>
              </w:rPr>
              <w:t>▲</w:t>
            </w:r>
            <w:r>
              <w:rPr>
                <w:rFonts w:hint="eastAsia" w:ascii="宋体" w:hAnsi="宋体" w:eastAsia="宋体" w:cs="宋体"/>
                <w:b w:val="0"/>
                <w:bCs/>
                <w:kern w:val="0"/>
                <w:sz w:val="21"/>
                <w:szCs w:val="21"/>
                <w:highlight w:val="none"/>
              </w:rPr>
              <w:t>1、PE防风网。</w:t>
            </w:r>
          </w:p>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2、规格：高度≥4米，宽与三块场地底线一致。</w:t>
            </w:r>
          </w:p>
        </w:tc>
        <w:tc>
          <w:tcPr>
            <w:tcW w:w="645"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640</w:t>
            </w:r>
          </w:p>
        </w:tc>
        <w:tc>
          <w:tcPr>
            <w:tcW w:w="660"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13</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撞包</w:t>
            </w:r>
          </w:p>
        </w:tc>
        <w:tc>
          <w:tcPr>
            <w:tcW w:w="6593"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1、材质：海绵加皮料</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2、规格：成人款</w:t>
            </w:r>
          </w:p>
        </w:tc>
        <w:tc>
          <w:tcPr>
            <w:tcW w:w="645"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8</w:t>
            </w:r>
          </w:p>
        </w:tc>
        <w:tc>
          <w:tcPr>
            <w:tcW w:w="660"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14</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扑搂包</w:t>
            </w:r>
          </w:p>
        </w:tc>
        <w:tc>
          <w:tcPr>
            <w:tcW w:w="6593"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1、材质：海绵加皮料</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2、成人款</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3、规格：不小于138cm*38cm</w:t>
            </w:r>
          </w:p>
        </w:tc>
        <w:tc>
          <w:tcPr>
            <w:tcW w:w="645"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8</w:t>
            </w:r>
          </w:p>
        </w:tc>
        <w:tc>
          <w:tcPr>
            <w:tcW w:w="660"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15</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扑搂训练服</w:t>
            </w:r>
          </w:p>
        </w:tc>
        <w:tc>
          <w:tcPr>
            <w:tcW w:w="6593"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全身款</w:t>
            </w:r>
          </w:p>
        </w:tc>
        <w:tc>
          <w:tcPr>
            <w:tcW w:w="645"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10</w:t>
            </w:r>
          </w:p>
        </w:tc>
        <w:tc>
          <w:tcPr>
            <w:tcW w:w="660"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16</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移动扑搂包</w:t>
            </w:r>
          </w:p>
        </w:tc>
        <w:tc>
          <w:tcPr>
            <w:tcW w:w="6593"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1、材质：海绵加皮料</w:t>
            </w:r>
            <w:r>
              <w:rPr>
                <w:rFonts w:hint="eastAsia" w:ascii="宋体" w:hAnsi="宋体" w:eastAsia="宋体" w:cs="宋体"/>
                <w:b w:val="0"/>
                <w:bCs/>
                <w:kern w:val="0"/>
                <w:sz w:val="21"/>
                <w:szCs w:val="21"/>
                <w:highlight w:val="none"/>
              </w:rPr>
              <w:br w:type="textWrapping"/>
            </w:r>
            <w:r>
              <w:rPr>
                <w:rFonts w:hint="eastAsia" w:ascii="宋体" w:hAnsi="宋体" w:eastAsia="宋体" w:cs="宋体"/>
                <w:b w:val="0"/>
                <w:bCs/>
                <w:kern w:val="0"/>
                <w:sz w:val="21"/>
                <w:szCs w:val="21"/>
                <w:highlight w:val="none"/>
              </w:rPr>
              <w:t>2、圆形滚动款</w:t>
            </w:r>
          </w:p>
        </w:tc>
        <w:tc>
          <w:tcPr>
            <w:tcW w:w="645"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4</w:t>
            </w:r>
          </w:p>
        </w:tc>
        <w:tc>
          <w:tcPr>
            <w:tcW w:w="660"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92"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17</w:t>
            </w:r>
          </w:p>
        </w:tc>
        <w:tc>
          <w:tcPr>
            <w:tcW w:w="857"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斯科兰训练机</w:t>
            </w:r>
          </w:p>
        </w:tc>
        <w:tc>
          <w:tcPr>
            <w:tcW w:w="6593" w:type="dxa"/>
            <w:vAlign w:val="center"/>
          </w:tcPr>
          <w:p>
            <w:pPr>
              <w:spacing w:line="240" w:lineRule="atLeas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简易款</w:t>
            </w:r>
          </w:p>
        </w:tc>
        <w:tc>
          <w:tcPr>
            <w:tcW w:w="645"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w:t>
            </w:r>
          </w:p>
        </w:tc>
        <w:tc>
          <w:tcPr>
            <w:tcW w:w="660" w:type="dxa"/>
            <w:vAlign w:val="center"/>
          </w:tcPr>
          <w:p>
            <w:pPr>
              <w:spacing w:line="240" w:lineRule="atLeas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台</w:t>
            </w:r>
          </w:p>
        </w:tc>
      </w:tr>
    </w:tbl>
    <w:p>
      <w:pPr>
        <w:pStyle w:val="2"/>
        <w:ind w:firstLine="424" w:firstLineChars="200"/>
        <w:rPr>
          <w:rFonts w:hint="default"/>
          <w:lang w:val="en-US" w:eastAsia="zh-CN"/>
        </w:rPr>
      </w:pPr>
    </w:p>
    <w:p>
      <w:pPr>
        <w:snapToGrid w:val="0"/>
        <w:rPr>
          <w:rFonts w:hint="eastAsia" w:asciiTheme="minorEastAsia" w:hAnsiTheme="minorEastAsia" w:eastAsiaTheme="minorEastAsia"/>
          <w:b/>
          <w:sz w:val="24"/>
        </w:rPr>
      </w:pPr>
      <w:r>
        <w:rPr>
          <w:rFonts w:hint="eastAsia" w:asciiTheme="minorEastAsia" w:hAnsiTheme="minorEastAsia" w:eastAsiaTheme="minorEastAsia"/>
          <w:b/>
          <w:sz w:val="24"/>
        </w:rPr>
        <w:t>注：</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4" w:firstLineChars="200"/>
        <w:textAlignment w:val="auto"/>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rPr>
        <w:t>投标人所投以上1-11款产品须为同一品牌，</w:t>
      </w:r>
      <w:r>
        <w:rPr>
          <w:rFonts w:hint="eastAsia" w:asciiTheme="minorEastAsia" w:hAnsiTheme="minorEastAsia"/>
          <w:b/>
          <w:bCs/>
          <w:sz w:val="24"/>
          <w:lang w:eastAsia="zh-CN"/>
        </w:rPr>
        <w:t>否则技术指标项不得分</w:t>
      </w:r>
      <w:r>
        <w:rPr>
          <w:rFonts w:hint="eastAsia" w:asciiTheme="minorEastAsia" w:hAnsiTheme="minorEastAsia" w:eastAsiaTheme="minorEastAsia"/>
          <w:b/>
          <w:bCs/>
          <w:sz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4" w:firstLineChars="200"/>
        <w:textAlignment w:val="auto"/>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■项供应商所提供的货物须能与采购人原有设备配套使用</w:t>
      </w:r>
      <w:r>
        <w:rPr>
          <w:rFonts w:hint="eastAsia" w:asciiTheme="minorEastAsia" w:hAnsiTheme="minorEastAsia"/>
          <w:b/>
          <w:bCs/>
          <w:sz w:val="24"/>
          <w:lang w:val="en-US" w:eastAsia="zh-CN"/>
        </w:rPr>
        <w:t>，否则技术指标不得分</w:t>
      </w:r>
      <w:r>
        <w:rPr>
          <w:rFonts w:hint="eastAsia" w:asciiTheme="minorEastAsia" w:hAnsiTheme="minorEastAsia" w:eastAsiaTheme="minorEastAsia"/>
          <w:b/>
          <w:bCs/>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4" w:firstLineChars="200"/>
        <w:textAlignment w:val="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3.</w:t>
      </w:r>
      <w:r>
        <w:rPr>
          <w:rFonts w:hint="eastAsia" w:asciiTheme="minorEastAsia" w:hAnsiTheme="minorEastAsia" w:eastAsiaTheme="minorEastAsia"/>
          <w:b/>
          <w:bCs/>
          <w:sz w:val="24"/>
        </w:rPr>
        <w:t>供应商应注意响应文件的技术参数中指出的工艺、材料、软件和设备的参照品牌或型号仅起说明作用，并没有任何限制性。供应商在采购活动中可以选用替代标准、品牌或型号，但这些替代要实质上满足或超过响应文件的要求。</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b/>
          <w:bCs/>
          <w:sz w:val="44"/>
          <w:szCs w:val="44"/>
          <w:highlight w:val="none"/>
        </w:rPr>
      </w:pPr>
    </w:p>
    <w:p>
      <w:pPr>
        <w:rPr>
          <w:rFonts w:hint="eastAsia" w:ascii="黑体" w:hAnsi="黑体" w:eastAsia="黑体" w:cs="黑体"/>
          <w:b/>
          <w:bCs/>
          <w:sz w:val="30"/>
          <w:szCs w:val="30"/>
          <w:highlight w:val="none"/>
        </w:rPr>
      </w:pPr>
    </w:p>
    <w:p>
      <w:pPr>
        <w:pStyle w:val="5"/>
        <w:spacing w:before="156" w:after="156"/>
        <w:jc w:val="center"/>
        <w:rPr>
          <w:rFonts w:hint="eastAsia" w:ascii="黑体" w:hAnsi="黑体" w:eastAsia="黑体" w:cs="黑体"/>
          <w:b/>
          <w:bCs/>
          <w:sz w:val="36"/>
          <w:szCs w:val="36"/>
          <w:highlight w:val="none"/>
        </w:rPr>
      </w:pPr>
      <w:bookmarkStart w:id="58" w:name="_Toc28150"/>
      <w:bookmarkStart w:id="59" w:name="_Toc468350119"/>
      <w:r>
        <w:rPr>
          <w:rFonts w:hint="eastAsia" w:ascii="黑体" w:hAnsi="黑体" w:eastAsia="黑体" w:cs="黑体"/>
          <w:b/>
          <w:bCs/>
          <w:sz w:val="36"/>
          <w:szCs w:val="36"/>
          <w:highlight w:val="none"/>
        </w:rPr>
        <w:t>第四部分 主要合同条款及合同格式</w:t>
      </w:r>
      <w:bookmarkEnd w:id="58"/>
      <w:bookmarkEnd w:id="59"/>
    </w:p>
    <w:p>
      <w:pPr>
        <w:snapToGrid w:val="0"/>
        <w:spacing w:line="360" w:lineRule="auto"/>
        <w:ind w:right="480"/>
        <w:jc w:val="center"/>
        <w:rPr>
          <w:rFonts w:hint="eastAsia" w:ascii="黑体" w:hAnsi="黑体" w:eastAsia="黑体" w:cs="黑体"/>
          <w:b w:val="0"/>
          <w:bCs w:val="0"/>
          <w:sz w:val="28"/>
          <w:szCs w:val="28"/>
          <w:highlight w:val="none"/>
          <w:u w:val="single"/>
        </w:rPr>
      </w:pPr>
      <w:r>
        <w:rPr>
          <w:rFonts w:hint="eastAsia" w:ascii="黑体" w:hAnsi="黑体" w:eastAsia="黑体" w:cs="黑体"/>
          <w:b w:val="0"/>
          <w:bCs w:val="0"/>
          <w:sz w:val="28"/>
          <w:szCs w:val="28"/>
          <w:highlight w:val="none"/>
        </w:rPr>
        <w:t>(参照执行)</w:t>
      </w:r>
    </w:p>
    <w:p>
      <w:pPr>
        <w:snapToGrid w:val="0"/>
        <w:spacing w:line="360" w:lineRule="auto"/>
        <w:ind w:right="480"/>
        <w:jc w:val="left"/>
        <w:rPr>
          <w:rFonts w:hint="eastAsia" w:ascii="宋体" w:hAnsi="宋体" w:eastAsia="宋体" w:cs="宋体"/>
          <w:b w:val="0"/>
          <w:bCs/>
          <w:sz w:val="30"/>
          <w:szCs w:val="30"/>
          <w:highlight w:val="none"/>
          <w:u w:val="single"/>
        </w:rPr>
      </w:pPr>
    </w:p>
    <w:p>
      <w:pPr>
        <w:widowControl/>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br w:type="page"/>
      </w:r>
    </w:p>
    <w:p>
      <w:pPr>
        <w:jc w:val="center"/>
        <w:rPr>
          <w:rFonts w:ascii="黑体" w:hAnsi="黑体" w:eastAsia="黑体"/>
          <w:b/>
          <w:position w:val="16"/>
          <w:sz w:val="36"/>
          <w:szCs w:val="36"/>
        </w:rPr>
      </w:pPr>
      <w:r>
        <w:rPr>
          <w:rFonts w:hint="eastAsia" w:ascii="黑体" w:hAnsi="黑体" w:eastAsia="黑体"/>
          <w:b/>
          <w:position w:val="16"/>
          <w:sz w:val="36"/>
          <w:szCs w:val="36"/>
        </w:rPr>
        <w:t xml:space="preserve">采  购  </w:t>
      </w:r>
      <w:r>
        <w:rPr>
          <w:rFonts w:ascii="黑体" w:hAnsi="黑体" w:eastAsia="黑体"/>
          <w:b/>
          <w:position w:val="16"/>
          <w:sz w:val="36"/>
          <w:szCs w:val="36"/>
        </w:rPr>
        <w:t xml:space="preserve">合 </w:t>
      </w:r>
      <w:r>
        <w:rPr>
          <w:rFonts w:hint="eastAsia" w:ascii="黑体" w:hAnsi="黑体" w:eastAsia="黑体"/>
          <w:b/>
          <w:position w:val="16"/>
          <w:sz w:val="36"/>
          <w:szCs w:val="36"/>
        </w:rPr>
        <w:t xml:space="preserve"> </w:t>
      </w:r>
      <w:r>
        <w:rPr>
          <w:rFonts w:ascii="黑体" w:hAnsi="黑体" w:eastAsia="黑体"/>
          <w:b/>
          <w:position w:val="16"/>
          <w:sz w:val="36"/>
          <w:szCs w:val="36"/>
        </w:rPr>
        <w:t>同</w:t>
      </w:r>
      <w:r>
        <w:rPr>
          <w:rFonts w:hint="eastAsia" w:ascii="黑体" w:hAnsi="黑体" w:eastAsia="黑体"/>
          <w:b/>
          <w:position w:val="16"/>
          <w:sz w:val="36"/>
          <w:szCs w:val="36"/>
        </w:rPr>
        <w:t>(模板)</w:t>
      </w:r>
    </w:p>
    <w:p>
      <w:pPr>
        <w:spacing w:line="440" w:lineRule="exact"/>
        <w:rPr>
          <w:rFonts w:hint="eastAsia" w:ascii="仿宋" w:hAnsi="仿宋" w:eastAsia="仿宋" w:cs="宋体"/>
          <w:b/>
          <w:kern w:val="0"/>
          <w:sz w:val="24"/>
        </w:rPr>
      </w:pPr>
    </w:p>
    <w:p>
      <w:pPr>
        <w:spacing w:line="440" w:lineRule="exact"/>
        <w:rPr>
          <w:rFonts w:ascii="仿宋" w:hAnsi="仿宋" w:eastAsia="仿宋" w:cs="宋体"/>
          <w:kern w:val="0"/>
          <w:sz w:val="24"/>
        </w:rPr>
      </w:pPr>
      <w:r>
        <w:rPr>
          <w:rFonts w:hint="eastAsia" w:ascii="仿宋" w:hAnsi="仿宋" w:eastAsia="仿宋" w:cs="宋体"/>
          <w:b/>
          <w:kern w:val="0"/>
          <w:sz w:val="24"/>
        </w:rPr>
        <w:t>签订地点</w:t>
      </w:r>
      <w:r>
        <w:rPr>
          <w:rFonts w:hint="eastAsia" w:ascii="仿宋" w:hAnsi="仿宋" w:eastAsia="仿宋" w:cs="宋体"/>
          <w:kern w:val="0"/>
          <w:sz w:val="24"/>
        </w:rPr>
        <w:t xml:space="preserve">：哈尔滨                             </w:t>
      </w:r>
      <w:r>
        <w:rPr>
          <w:rFonts w:hint="eastAsia" w:ascii="仿宋" w:hAnsi="仿宋" w:eastAsia="仿宋" w:cs="宋体"/>
          <w:b/>
          <w:kern w:val="0"/>
          <w:sz w:val="24"/>
        </w:rPr>
        <w:t>合同编号</w:t>
      </w:r>
      <w:r>
        <w:rPr>
          <w:rFonts w:hint="eastAsia" w:ascii="仿宋" w:hAnsi="仿宋" w:eastAsia="仿宋" w:cs="宋体"/>
          <w:kern w:val="0"/>
          <w:sz w:val="24"/>
        </w:rPr>
        <w:t>：</w:t>
      </w:r>
    </w:p>
    <w:p>
      <w:pPr>
        <w:widowControl/>
        <w:spacing w:line="440" w:lineRule="exact"/>
        <w:textAlignment w:val="center"/>
        <w:rPr>
          <w:rFonts w:ascii="仿宋" w:hAnsi="仿宋" w:eastAsia="仿宋" w:cs="楷体_GB2312"/>
          <w:kern w:val="0"/>
          <w:sz w:val="24"/>
        </w:rPr>
      </w:pPr>
      <w:r>
        <w:rPr>
          <w:rStyle w:val="38"/>
          <w:rFonts w:ascii="仿宋" w:hAnsi="仿宋" w:eastAsia="仿宋"/>
          <w:b/>
          <w:sz w:val="24"/>
        </w:rPr>
        <w:t>甲方</w:t>
      </w:r>
      <w:r>
        <w:rPr>
          <w:rStyle w:val="38"/>
          <w:rFonts w:ascii="仿宋" w:hAnsi="仿宋" w:eastAsia="仿宋"/>
          <w:sz w:val="24"/>
        </w:rPr>
        <w:t>：</w:t>
      </w:r>
      <w:r>
        <w:rPr>
          <w:rFonts w:ascii="仿宋" w:hAnsi="仿宋" w:eastAsia="仿宋" w:cs="楷体_GB2312"/>
          <w:kern w:val="0"/>
          <w:sz w:val="24"/>
        </w:rPr>
        <w:t>哈尔滨工程大学</w:t>
      </w:r>
      <w:r>
        <w:rPr>
          <w:rFonts w:hint="eastAsia" w:ascii="仿宋" w:hAnsi="仿宋" w:eastAsia="仿宋" w:cs="楷体_GB2312"/>
          <w:kern w:val="0"/>
          <w:sz w:val="24"/>
        </w:rPr>
        <w:t xml:space="preserve">                         </w:t>
      </w:r>
      <w:r>
        <w:rPr>
          <w:rFonts w:hint="eastAsia" w:ascii="仿宋" w:hAnsi="仿宋" w:eastAsia="仿宋" w:cs="宋体"/>
          <w:b/>
          <w:kern w:val="0"/>
          <w:sz w:val="24"/>
        </w:rPr>
        <w:t>乙方：</w:t>
      </w:r>
      <w:r>
        <w:rPr>
          <w:rFonts w:hint="eastAsia" w:ascii="仿宋" w:hAnsi="仿宋" w:eastAsia="仿宋" w:cs="楷体_GB2312"/>
          <w:kern w:val="0"/>
          <w:sz w:val="24"/>
        </w:rPr>
        <w:t>**************</w:t>
      </w:r>
    </w:p>
    <w:p>
      <w:pPr>
        <w:widowControl/>
        <w:spacing w:line="440" w:lineRule="exact"/>
        <w:textAlignment w:val="center"/>
        <w:rPr>
          <w:rFonts w:ascii="仿宋" w:hAnsi="仿宋" w:eastAsia="仿宋" w:cs="宋体"/>
          <w:b/>
          <w:sz w:val="24"/>
        </w:rPr>
      </w:pPr>
      <w:r>
        <w:rPr>
          <w:rStyle w:val="38"/>
          <w:rFonts w:ascii="仿宋" w:hAnsi="仿宋" w:eastAsia="仿宋"/>
          <w:b/>
          <w:sz w:val="24"/>
        </w:rPr>
        <w:t>地址</w:t>
      </w:r>
      <w:r>
        <w:rPr>
          <w:rStyle w:val="38"/>
          <w:rFonts w:ascii="仿宋" w:hAnsi="仿宋" w:eastAsia="仿宋"/>
          <w:sz w:val="24"/>
        </w:rPr>
        <w:t>：</w:t>
      </w:r>
      <w:r>
        <w:rPr>
          <w:rFonts w:ascii="仿宋" w:hAnsi="仿宋" w:eastAsia="仿宋" w:cs="楷体_GB2312"/>
          <w:kern w:val="0"/>
          <w:sz w:val="24"/>
        </w:rPr>
        <w:t>哈尔滨南岗区南通大街145号</w:t>
      </w:r>
      <w:r>
        <w:rPr>
          <w:rFonts w:hint="eastAsia" w:ascii="仿宋" w:hAnsi="仿宋" w:eastAsia="仿宋" w:cs="楷体_GB2312"/>
          <w:kern w:val="0"/>
          <w:sz w:val="24"/>
        </w:rPr>
        <w:t xml:space="preserve">             </w:t>
      </w:r>
      <w:r>
        <w:rPr>
          <w:rStyle w:val="38"/>
          <w:rFonts w:ascii="仿宋" w:hAnsi="仿宋" w:eastAsia="仿宋"/>
          <w:b/>
          <w:sz w:val="24"/>
        </w:rPr>
        <w:t>地址</w:t>
      </w:r>
      <w:r>
        <w:rPr>
          <w:rStyle w:val="38"/>
          <w:rFonts w:ascii="仿宋" w:hAnsi="仿宋" w:eastAsia="仿宋"/>
          <w:sz w:val="24"/>
        </w:rPr>
        <w:t>：</w:t>
      </w:r>
      <w:r>
        <w:rPr>
          <w:rFonts w:hint="eastAsia" w:ascii="仿宋" w:hAnsi="仿宋" w:eastAsia="仿宋" w:cs="楷体_GB2312"/>
          <w:kern w:val="0"/>
          <w:sz w:val="24"/>
        </w:rPr>
        <w:t>**************</w:t>
      </w:r>
      <w:r>
        <w:rPr>
          <w:rStyle w:val="38"/>
          <w:rFonts w:hint="eastAsia" w:ascii="仿宋" w:hAnsi="仿宋" w:eastAsia="仿宋"/>
          <w:sz w:val="24"/>
        </w:rPr>
        <w:t xml:space="preserve"> </w:t>
      </w:r>
    </w:p>
    <w:p>
      <w:pPr>
        <w:spacing w:line="440" w:lineRule="exact"/>
        <w:rPr>
          <w:rFonts w:ascii="仿宋" w:hAnsi="仿宋" w:eastAsia="仿宋" w:cs="楷体_GB2312"/>
          <w:kern w:val="0"/>
          <w:sz w:val="24"/>
        </w:rPr>
      </w:pPr>
      <w:r>
        <w:rPr>
          <w:rFonts w:hint="eastAsia" w:ascii="仿宋" w:hAnsi="仿宋" w:eastAsia="仿宋" w:cs="宋体"/>
          <w:b/>
          <w:kern w:val="0"/>
          <w:sz w:val="24"/>
        </w:rPr>
        <w:t>单位及电话：</w:t>
      </w:r>
      <w:r>
        <w:rPr>
          <w:rFonts w:hint="eastAsia" w:ascii="仿宋" w:hAnsi="仿宋" w:eastAsia="仿宋" w:cs="楷体_GB2312"/>
          <w:kern w:val="0"/>
          <w:sz w:val="24"/>
        </w:rPr>
        <w:t xml:space="preserve">****学院，                       </w:t>
      </w:r>
      <w:r>
        <w:rPr>
          <w:rFonts w:hint="eastAsia" w:ascii="仿宋" w:hAnsi="仿宋" w:eastAsia="仿宋" w:cs="宋体"/>
          <w:b/>
          <w:kern w:val="0"/>
          <w:sz w:val="24"/>
        </w:rPr>
        <w:t>电话：</w:t>
      </w:r>
      <w:r>
        <w:rPr>
          <w:rFonts w:hint="eastAsia" w:ascii="仿宋" w:hAnsi="仿宋" w:eastAsia="仿宋" w:cs="楷体_GB2312"/>
          <w:kern w:val="0"/>
          <w:sz w:val="24"/>
        </w:rPr>
        <w:t xml:space="preserve">******  </w:t>
      </w:r>
    </w:p>
    <w:p>
      <w:pPr>
        <w:pBdr>
          <w:bottom w:val="single" w:color="auto" w:sz="6" w:space="1"/>
        </w:pBdr>
        <w:spacing w:line="440" w:lineRule="exact"/>
        <w:rPr>
          <w:rFonts w:ascii="仿宋" w:hAnsi="仿宋" w:eastAsia="仿宋" w:cs="楷体_GB2312"/>
          <w:kern w:val="0"/>
          <w:sz w:val="24"/>
        </w:rPr>
      </w:pPr>
      <w:r>
        <w:rPr>
          <w:rFonts w:ascii="仿宋" w:hAnsi="仿宋" w:eastAsia="仿宋" w:cs="宋体"/>
          <w:b/>
          <w:kern w:val="0"/>
          <w:sz w:val="24"/>
        </w:rPr>
        <w:t>邮政编码:</w:t>
      </w:r>
      <w:r>
        <w:rPr>
          <w:rFonts w:ascii="仿宋" w:hAnsi="仿宋" w:eastAsia="仿宋"/>
          <w:kern w:val="0"/>
          <w:sz w:val="24"/>
        </w:rPr>
        <w:t xml:space="preserve"> 150001</w:t>
      </w:r>
      <w:r>
        <w:rPr>
          <w:rFonts w:hint="eastAsia" w:ascii="仿宋" w:hAnsi="仿宋" w:eastAsia="仿宋"/>
          <w:kern w:val="0"/>
          <w:sz w:val="24"/>
        </w:rPr>
        <w:t xml:space="preserve">                             </w:t>
      </w:r>
      <w:r>
        <w:rPr>
          <w:rFonts w:ascii="仿宋" w:hAnsi="仿宋" w:eastAsia="仿宋" w:cs="宋体"/>
          <w:b/>
          <w:kern w:val="0"/>
          <w:sz w:val="24"/>
        </w:rPr>
        <w:t>邮政编码</w:t>
      </w:r>
      <w:r>
        <w:rPr>
          <w:rFonts w:ascii="仿宋" w:hAnsi="仿宋" w:eastAsia="仿宋"/>
          <w:b/>
          <w:kern w:val="0"/>
          <w:sz w:val="24"/>
        </w:rPr>
        <w:t>:</w:t>
      </w:r>
      <w:r>
        <w:rPr>
          <w:rFonts w:hint="eastAsia" w:ascii="仿宋" w:hAnsi="仿宋" w:eastAsia="仿宋" w:cs="楷体_GB2312"/>
          <w:kern w:val="0"/>
          <w:sz w:val="24"/>
        </w:rPr>
        <w:t xml:space="preserve"> ******  </w:t>
      </w:r>
    </w:p>
    <w:p>
      <w:pPr>
        <w:rPr>
          <w:rFonts w:ascii="仿宋" w:hAnsi="仿宋" w:eastAsia="仿宋" w:cs="楷体_GB2312"/>
          <w:kern w:val="0"/>
          <w:sz w:val="24"/>
        </w:rPr>
      </w:pPr>
      <w:r>
        <w:rPr>
          <w:rFonts w:hint="eastAsia" w:ascii="仿宋" w:hAnsi="仿宋" w:eastAsia="仿宋" w:cs="楷体_GB2312"/>
          <w:kern w:val="0"/>
          <w:sz w:val="24"/>
        </w:rPr>
        <w:t xml:space="preserve">                  </w:t>
      </w:r>
    </w:p>
    <w:p>
      <w:pPr>
        <w:pStyle w:val="3"/>
        <w:suppressAutoHyphens/>
        <w:adjustRightInd w:val="0"/>
        <w:snapToGrid w:val="0"/>
        <w:spacing w:after="0" w:line="440" w:lineRule="exact"/>
        <w:ind w:right="106" w:rightChars="50" w:firstLine="484" w:firstLineChars="200"/>
        <w:rPr>
          <w:rFonts w:ascii="仿宋" w:hAnsi="仿宋" w:eastAsia="仿宋" w:cs="仿宋"/>
          <w:sz w:val="24"/>
        </w:rPr>
      </w:pPr>
      <w:r>
        <w:rPr>
          <w:rFonts w:hint="eastAsia" w:ascii="仿宋" w:hAnsi="仿宋" w:eastAsia="仿宋" w:cs="仿宋"/>
          <w:sz w:val="24"/>
        </w:rPr>
        <w:t>根据《中华人民共和国合同法》及其他有关法律、法规的规定，遵循平等、自愿、公平和诚实信用原则，甲、乙双方现就</w:t>
      </w:r>
      <w:r>
        <w:rPr>
          <w:rFonts w:hint="eastAsia" w:ascii="仿宋" w:hAnsi="仿宋" w:eastAsia="仿宋" w:cs="仿宋"/>
          <w:kern w:val="0"/>
          <w:sz w:val="24"/>
        </w:rPr>
        <w:t>********</w:t>
      </w:r>
      <w:r>
        <w:rPr>
          <w:rFonts w:hint="eastAsia" w:ascii="仿宋" w:hAnsi="仿宋" w:eastAsia="仿宋" w:cs="仿宋"/>
          <w:sz w:val="24"/>
        </w:rPr>
        <w:t>采购及服务事宜，经充分协商，同意按如下条款订立本合同：</w:t>
      </w:r>
    </w:p>
    <w:p>
      <w:pPr>
        <w:pStyle w:val="3"/>
        <w:suppressAutoHyphens/>
        <w:adjustRightInd w:val="0"/>
        <w:snapToGrid w:val="0"/>
        <w:spacing w:after="0" w:line="240" w:lineRule="atLeast"/>
      </w:pPr>
    </w:p>
    <w:p>
      <w:pPr>
        <w:pStyle w:val="3"/>
        <w:suppressAutoHyphens/>
        <w:adjustRightInd w:val="0"/>
        <w:snapToGrid w:val="0"/>
        <w:spacing w:after="0" w:line="240" w:lineRule="atLeast"/>
        <w:rPr>
          <w:rFonts w:ascii="仿宋" w:hAnsi="仿宋" w:eastAsia="仿宋" w:cs="仿宋"/>
          <w:sz w:val="24"/>
        </w:rPr>
      </w:pPr>
      <w:r>
        <w:rPr>
          <w:rFonts w:hint="eastAsia" w:ascii="仿宋" w:hAnsi="仿宋" w:eastAsia="仿宋" w:cs="仿宋"/>
          <w:b/>
          <w:kern w:val="0"/>
          <w:sz w:val="24"/>
        </w:rPr>
        <w:t>第一条 合同内容：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1134"/>
        <w:gridCol w:w="1417"/>
        <w:gridCol w:w="1276"/>
        <w:gridCol w:w="93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序号</w:t>
            </w:r>
          </w:p>
        </w:tc>
        <w:tc>
          <w:tcPr>
            <w:tcW w:w="2410"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货物名称</w:t>
            </w:r>
          </w:p>
        </w:tc>
        <w:tc>
          <w:tcPr>
            <w:tcW w:w="1134"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品牌</w:t>
            </w:r>
          </w:p>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型号</w:t>
            </w:r>
          </w:p>
        </w:tc>
        <w:tc>
          <w:tcPr>
            <w:tcW w:w="1417" w:type="dxa"/>
            <w:noWrap w:val="0"/>
            <w:vAlign w:val="center"/>
          </w:tcPr>
          <w:p>
            <w:pPr>
              <w:widowControl/>
              <w:suppressAutoHyphens/>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主要性能</w:t>
            </w:r>
          </w:p>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指标</w:t>
            </w:r>
          </w:p>
        </w:tc>
        <w:tc>
          <w:tcPr>
            <w:tcW w:w="1276"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数量</w:t>
            </w:r>
          </w:p>
        </w:tc>
        <w:tc>
          <w:tcPr>
            <w:tcW w:w="936"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单价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（元）</w:t>
            </w:r>
          </w:p>
        </w:tc>
        <w:tc>
          <w:tcPr>
            <w:tcW w:w="1296"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金额</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noWrap w:val="0"/>
            <w:vAlign w:val="center"/>
          </w:tcPr>
          <w:p>
            <w:pPr>
              <w:spacing w:line="240" w:lineRule="atLeast"/>
            </w:pPr>
          </w:p>
        </w:tc>
        <w:tc>
          <w:tcPr>
            <w:tcW w:w="2410" w:type="dxa"/>
            <w:noWrap w:val="0"/>
            <w:vAlign w:val="center"/>
          </w:tcPr>
          <w:p>
            <w:pPr>
              <w:spacing w:line="240" w:lineRule="atLeast"/>
            </w:pPr>
          </w:p>
        </w:tc>
        <w:tc>
          <w:tcPr>
            <w:tcW w:w="1134" w:type="dxa"/>
            <w:noWrap w:val="0"/>
            <w:vAlign w:val="center"/>
          </w:tcPr>
          <w:p>
            <w:pPr>
              <w:spacing w:line="240" w:lineRule="atLeast"/>
            </w:pPr>
          </w:p>
        </w:tc>
        <w:tc>
          <w:tcPr>
            <w:tcW w:w="1417" w:type="dxa"/>
            <w:noWrap w:val="0"/>
            <w:vAlign w:val="center"/>
          </w:tcPr>
          <w:p>
            <w:pPr>
              <w:spacing w:line="240" w:lineRule="atLeast"/>
            </w:pPr>
          </w:p>
        </w:tc>
        <w:tc>
          <w:tcPr>
            <w:tcW w:w="1276" w:type="dxa"/>
            <w:noWrap w:val="0"/>
            <w:vAlign w:val="center"/>
          </w:tcPr>
          <w:p>
            <w:pPr>
              <w:spacing w:line="240" w:lineRule="atLeast"/>
            </w:pPr>
          </w:p>
        </w:tc>
        <w:tc>
          <w:tcPr>
            <w:tcW w:w="936" w:type="dxa"/>
            <w:noWrap w:val="0"/>
            <w:vAlign w:val="center"/>
          </w:tcPr>
          <w:p>
            <w:pPr>
              <w:spacing w:line="240" w:lineRule="atLeast"/>
            </w:pPr>
          </w:p>
        </w:tc>
        <w:tc>
          <w:tcPr>
            <w:tcW w:w="1296" w:type="dxa"/>
            <w:noWrap w:val="0"/>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noWrap w:val="0"/>
            <w:vAlign w:val="center"/>
          </w:tcPr>
          <w:p>
            <w:pPr>
              <w:spacing w:line="240" w:lineRule="atLeast"/>
            </w:pPr>
          </w:p>
        </w:tc>
        <w:tc>
          <w:tcPr>
            <w:tcW w:w="2410" w:type="dxa"/>
            <w:noWrap w:val="0"/>
            <w:vAlign w:val="center"/>
          </w:tcPr>
          <w:p>
            <w:pPr>
              <w:spacing w:line="240" w:lineRule="atLeast"/>
            </w:pPr>
          </w:p>
        </w:tc>
        <w:tc>
          <w:tcPr>
            <w:tcW w:w="1134" w:type="dxa"/>
            <w:noWrap w:val="0"/>
            <w:vAlign w:val="center"/>
          </w:tcPr>
          <w:p>
            <w:pPr>
              <w:spacing w:line="240" w:lineRule="atLeast"/>
            </w:pPr>
          </w:p>
        </w:tc>
        <w:tc>
          <w:tcPr>
            <w:tcW w:w="1417" w:type="dxa"/>
            <w:noWrap w:val="0"/>
            <w:vAlign w:val="center"/>
          </w:tcPr>
          <w:p>
            <w:pPr>
              <w:spacing w:line="240" w:lineRule="atLeast"/>
            </w:pPr>
          </w:p>
        </w:tc>
        <w:tc>
          <w:tcPr>
            <w:tcW w:w="1276" w:type="dxa"/>
            <w:noWrap w:val="0"/>
            <w:vAlign w:val="center"/>
          </w:tcPr>
          <w:p>
            <w:pPr>
              <w:spacing w:line="240" w:lineRule="atLeast"/>
            </w:pPr>
          </w:p>
        </w:tc>
        <w:tc>
          <w:tcPr>
            <w:tcW w:w="936" w:type="dxa"/>
            <w:noWrap w:val="0"/>
            <w:vAlign w:val="center"/>
          </w:tcPr>
          <w:p>
            <w:pPr>
              <w:spacing w:line="240" w:lineRule="atLeast"/>
            </w:pPr>
          </w:p>
        </w:tc>
        <w:tc>
          <w:tcPr>
            <w:tcW w:w="1296" w:type="dxa"/>
            <w:noWrap w:val="0"/>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noWrap w:val="0"/>
            <w:vAlign w:val="center"/>
          </w:tcPr>
          <w:p>
            <w:pPr>
              <w:spacing w:line="240" w:lineRule="atLeast"/>
            </w:pPr>
          </w:p>
        </w:tc>
        <w:tc>
          <w:tcPr>
            <w:tcW w:w="2410" w:type="dxa"/>
            <w:noWrap w:val="0"/>
            <w:vAlign w:val="center"/>
          </w:tcPr>
          <w:p>
            <w:pPr>
              <w:spacing w:line="240" w:lineRule="atLeast"/>
            </w:pPr>
          </w:p>
        </w:tc>
        <w:tc>
          <w:tcPr>
            <w:tcW w:w="1134" w:type="dxa"/>
            <w:noWrap w:val="0"/>
            <w:vAlign w:val="center"/>
          </w:tcPr>
          <w:p>
            <w:pPr>
              <w:spacing w:line="240" w:lineRule="atLeast"/>
            </w:pPr>
          </w:p>
        </w:tc>
        <w:tc>
          <w:tcPr>
            <w:tcW w:w="1417" w:type="dxa"/>
            <w:noWrap w:val="0"/>
            <w:vAlign w:val="center"/>
          </w:tcPr>
          <w:p>
            <w:pPr>
              <w:spacing w:line="240" w:lineRule="atLeast"/>
            </w:pPr>
          </w:p>
        </w:tc>
        <w:tc>
          <w:tcPr>
            <w:tcW w:w="1276" w:type="dxa"/>
            <w:noWrap w:val="0"/>
            <w:vAlign w:val="center"/>
          </w:tcPr>
          <w:p>
            <w:pPr>
              <w:spacing w:line="240" w:lineRule="atLeast"/>
            </w:pPr>
          </w:p>
        </w:tc>
        <w:tc>
          <w:tcPr>
            <w:tcW w:w="936" w:type="dxa"/>
            <w:noWrap w:val="0"/>
            <w:vAlign w:val="center"/>
          </w:tcPr>
          <w:p>
            <w:pPr>
              <w:spacing w:line="240" w:lineRule="atLeast"/>
            </w:pPr>
          </w:p>
        </w:tc>
        <w:tc>
          <w:tcPr>
            <w:tcW w:w="1296" w:type="dxa"/>
            <w:noWrap w:val="0"/>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86" w:type="dxa"/>
            <w:gridSpan w:val="7"/>
            <w:noWrap w:val="0"/>
            <w:vAlign w:val="center"/>
          </w:tcPr>
          <w:p>
            <w:pPr>
              <w:spacing w:line="240" w:lineRule="atLeast"/>
            </w:pPr>
            <w:r>
              <w:rPr>
                <w:rFonts w:hint="eastAsia" w:ascii="仿宋" w:hAnsi="仿宋" w:eastAsia="仿宋" w:cs="仿宋"/>
                <w:kern w:val="0"/>
                <w:sz w:val="24"/>
                <w:szCs w:val="24"/>
              </w:rPr>
              <w:t>合计人民币金额（大写）：                          （小写）：            元</w:t>
            </w:r>
          </w:p>
        </w:tc>
      </w:tr>
    </w:tbl>
    <w:p>
      <w:pPr>
        <w:pStyle w:val="3"/>
        <w:suppressAutoHyphens/>
        <w:adjustRightInd w:val="0"/>
        <w:snapToGrid w:val="0"/>
        <w:spacing w:after="0" w:line="240" w:lineRule="atLeast"/>
      </w:pPr>
    </w:p>
    <w:p>
      <w:pPr>
        <w:pStyle w:val="3"/>
        <w:suppressAutoHyphens/>
        <w:adjustRightInd w:val="0"/>
        <w:snapToGrid w:val="0"/>
        <w:spacing w:after="0" w:line="240" w:lineRule="atLeast"/>
        <w:rPr>
          <w:rFonts w:ascii="仿宋" w:hAnsi="仿宋" w:eastAsia="仿宋" w:cs="仿宋"/>
          <w:b/>
          <w:kern w:val="0"/>
          <w:sz w:val="24"/>
        </w:rPr>
      </w:pPr>
      <w:r>
        <w:rPr>
          <w:rFonts w:hint="eastAsia" w:ascii="仿宋" w:hAnsi="仿宋" w:eastAsia="仿宋" w:cs="仿宋"/>
          <w:b/>
          <w:kern w:val="0"/>
          <w:sz w:val="24"/>
        </w:rPr>
        <w:t>第二条 合同价款：</w:t>
      </w:r>
    </w:p>
    <w:p>
      <w:pPr>
        <w:pStyle w:val="3"/>
        <w:suppressAutoHyphens/>
        <w:adjustRightInd w:val="0"/>
        <w:snapToGrid w:val="0"/>
        <w:spacing w:after="0" w:line="240" w:lineRule="atLeast"/>
        <w:ind w:firstLine="484" w:firstLineChars="200"/>
        <w:rPr>
          <w:rFonts w:ascii="仿宋" w:hAnsi="仿宋" w:eastAsia="仿宋" w:cs="仿宋"/>
          <w:sz w:val="24"/>
        </w:rPr>
      </w:pPr>
      <w:r>
        <w:rPr>
          <w:rFonts w:hint="eastAsia" w:ascii="仿宋" w:hAnsi="仿宋" w:eastAsia="仿宋" w:cs="仿宋"/>
          <w:sz w:val="24"/>
        </w:rPr>
        <w:t>合同总价款为人民币   圆整（¥   ）。本合同总价款包括供货、安装、调试、保修、售后服务及将货物运至指定地点所发生的运费、装卸费等货物伴随服务的费用和所需缴纳的一切相关税、费。</w:t>
      </w:r>
    </w:p>
    <w:p>
      <w:pPr>
        <w:pStyle w:val="3"/>
        <w:suppressAutoHyphens/>
        <w:adjustRightInd w:val="0"/>
        <w:snapToGrid w:val="0"/>
        <w:spacing w:after="0" w:line="240" w:lineRule="atLeast"/>
        <w:rPr>
          <w:rFonts w:ascii="仿宋" w:hAnsi="仿宋" w:eastAsia="仿宋" w:cs="仿宋"/>
          <w:sz w:val="24"/>
        </w:rPr>
      </w:pPr>
    </w:p>
    <w:p>
      <w:pPr>
        <w:widowControl/>
        <w:suppressAutoHyphens/>
        <w:spacing w:line="240" w:lineRule="atLeast"/>
        <w:textAlignment w:val="center"/>
        <w:rPr>
          <w:rFonts w:ascii="仿宋" w:hAnsi="仿宋" w:eastAsia="仿宋" w:cs="仿宋"/>
          <w:b/>
          <w:kern w:val="0"/>
          <w:sz w:val="24"/>
        </w:rPr>
      </w:pPr>
      <w:r>
        <w:rPr>
          <w:rFonts w:hint="eastAsia" w:ascii="仿宋" w:hAnsi="仿宋" w:eastAsia="仿宋" w:cs="仿宋"/>
          <w:b/>
          <w:kern w:val="0"/>
          <w:sz w:val="24"/>
          <w:szCs w:val="24"/>
        </w:rPr>
        <w:t>第三条 货物交付时间、方式、地点和费用：</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全部货物于****年**月**日前运到哈尔滨工程大学校内指定位置并安装调试完毕，费用由卖方负担（含供货、安装、调试、培训及税金等一切费用）。</w:t>
      </w:r>
    </w:p>
    <w:p>
      <w:pPr>
        <w:widowControl/>
        <w:suppressAutoHyphens/>
        <w:spacing w:line="240" w:lineRule="atLeast"/>
        <w:textAlignment w:val="center"/>
        <w:rPr>
          <w:rFonts w:ascii="仿宋" w:hAnsi="仿宋" w:eastAsia="仿宋" w:cs="仿宋"/>
          <w:b/>
          <w:bCs/>
          <w:sz w:val="24"/>
          <w:szCs w:val="24"/>
        </w:rPr>
      </w:pPr>
    </w:p>
    <w:p>
      <w:pPr>
        <w:widowControl/>
        <w:suppressAutoHyphens/>
        <w:spacing w:line="240" w:lineRule="atLeast"/>
        <w:textAlignment w:val="center"/>
        <w:rPr>
          <w:rFonts w:ascii="仿宋" w:hAnsi="仿宋" w:eastAsia="仿宋" w:cs="仿宋"/>
          <w:b/>
          <w:bCs/>
          <w:sz w:val="24"/>
        </w:rPr>
      </w:pPr>
      <w:r>
        <w:rPr>
          <w:rFonts w:hint="eastAsia" w:ascii="仿宋" w:hAnsi="仿宋" w:eastAsia="仿宋" w:cs="仿宋"/>
          <w:b/>
          <w:bCs/>
          <w:sz w:val="24"/>
          <w:szCs w:val="24"/>
        </w:rPr>
        <w:t>第四条 质量标准：</w:t>
      </w:r>
    </w:p>
    <w:p>
      <w:pPr>
        <w:spacing w:line="240" w:lineRule="atLeast"/>
        <w:ind w:firstLine="484" w:firstLineChars="200"/>
        <w:rPr>
          <w:rFonts w:ascii="仿宋" w:hAnsi="仿宋" w:eastAsia="仿宋" w:cs="仿宋"/>
          <w:sz w:val="24"/>
          <w:szCs w:val="24"/>
        </w:rPr>
      </w:pPr>
      <w:r>
        <w:rPr>
          <w:rFonts w:hint="eastAsia" w:ascii="仿宋" w:hAnsi="仿宋" w:eastAsia="仿宋" w:cs="仿宋"/>
          <w:sz w:val="24"/>
          <w:szCs w:val="24"/>
        </w:rPr>
        <w:t>乙方保证提供的货物皆为符合国家标准的正品合格产品，且承诺为甲方提供符合或高于国家标准及采购文件要求的服务，且若该货物在投标货物生产厂商中国总部对外公众网站上具有标准配置和服务的，乙方为甲方提供的产品及服务符合或高于其标准。</w:t>
      </w:r>
    </w:p>
    <w:p>
      <w:pPr>
        <w:spacing w:line="240" w:lineRule="atLeast"/>
        <w:rPr>
          <w:rFonts w:ascii="仿宋" w:hAnsi="仿宋" w:eastAsia="仿宋" w:cs="仿宋"/>
          <w:sz w:val="24"/>
          <w:szCs w:val="24"/>
        </w:rPr>
      </w:pPr>
    </w:p>
    <w:p>
      <w:pPr>
        <w:suppressAutoHyphens/>
        <w:snapToGrid w:val="0"/>
        <w:spacing w:line="240" w:lineRule="atLeast"/>
        <w:rPr>
          <w:rFonts w:ascii="仿宋" w:hAnsi="仿宋" w:eastAsia="仿宋" w:cs="仿宋"/>
          <w:sz w:val="24"/>
        </w:rPr>
      </w:pPr>
      <w:r>
        <w:rPr>
          <w:rFonts w:hint="eastAsia" w:ascii="仿宋" w:hAnsi="仿宋" w:eastAsia="仿宋" w:cs="仿宋"/>
          <w:b/>
          <w:kern w:val="0"/>
          <w:sz w:val="24"/>
          <w:szCs w:val="24"/>
        </w:rPr>
        <w:t>第五条 质保及维修：</w:t>
      </w:r>
    </w:p>
    <w:p>
      <w:pPr>
        <w:widowControl/>
        <w:suppressAutoHyphens/>
        <w:spacing w:line="240" w:lineRule="atLeast"/>
        <w:ind w:firstLine="484" w:firstLineChars="200"/>
        <w:textAlignment w:val="center"/>
        <w:rPr>
          <w:rFonts w:ascii="仿宋" w:hAnsi="仿宋" w:eastAsia="仿宋" w:cs="仿宋"/>
          <w:kern w:val="0"/>
          <w:sz w:val="24"/>
        </w:rPr>
      </w:pPr>
      <w:r>
        <w:rPr>
          <w:rFonts w:hint="eastAsia" w:ascii="仿宋" w:hAnsi="仿宋" w:eastAsia="仿宋" w:cs="仿宋"/>
          <w:kern w:val="0"/>
          <w:sz w:val="24"/>
          <w:szCs w:val="24"/>
        </w:rPr>
        <w:t>质保期**年（从验收合格之日算起）。质保期过后终身维修，维修只收成本费。</w:t>
      </w:r>
    </w:p>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服务响应时间**小时。</w:t>
      </w:r>
    </w:p>
    <w:p>
      <w:pPr>
        <w:spacing w:line="240" w:lineRule="atLeast"/>
        <w:rPr>
          <w:rFonts w:ascii="仿宋" w:hAnsi="仿宋" w:eastAsia="仿宋" w:cs="仿宋"/>
          <w:kern w:val="0"/>
          <w:sz w:val="24"/>
          <w:szCs w:val="24"/>
        </w:rPr>
      </w:pPr>
    </w:p>
    <w:p>
      <w:pPr>
        <w:widowControl/>
        <w:suppressAutoHyphens/>
        <w:spacing w:before="156" w:beforeLines="50" w:line="320" w:lineRule="exact"/>
        <w:textAlignment w:val="center"/>
        <w:rPr>
          <w:rFonts w:ascii="仿宋" w:hAnsi="仿宋" w:eastAsia="仿宋" w:cs="仿宋"/>
          <w:b/>
          <w:kern w:val="0"/>
          <w:sz w:val="24"/>
        </w:rPr>
      </w:pPr>
      <w:r>
        <w:rPr>
          <w:rFonts w:ascii="仿宋" w:hAnsi="仿宋" w:eastAsia="仿宋" w:cs="仿宋"/>
          <w:b/>
          <w:kern w:val="0"/>
          <w:sz w:val="24"/>
          <w:szCs w:val="24"/>
        </w:rPr>
        <w:t>第六条</w:t>
      </w:r>
      <w:r>
        <w:rPr>
          <w:rFonts w:hint="eastAsia" w:ascii="仿宋" w:hAnsi="仿宋" w:eastAsia="仿宋" w:cs="仿宋"/>
          <w:b/>
          <w:kern w:val="0"/>
          <w:sz w:val="24"/>
          <w:szCs w:val="24"/>
        </w:rPr>
        <w:t xml:space="preserve"> 随机备品及配件的供应：</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卖方按原包供应。</w:t>
      </w:r>
    </w:p>
    <w:p>
      <w:pPr>
        <w:widowControl/>
        <w:suppressAutoHyphens/>
        <w:spacing w:before="156" w:beforeLines="50" w:line="320" w:lineRule="exact"/>
        <w:textAlignment w:val="center"/>
        <w:rPr>
          <w:rFonts w:ascii="仿宋" w:hAnsi="仿宋" w:eastAsia="仿宋" w:cs="仿宋"/>
          <w:b/>
          <w:kern w:val="0"/>
          <w:sz w:val="24"/>
        </w:rPr>
      </w:pPr>
      <w:r>
        <w:rPr>
          <w:rFonts w:hint="eastAsia" w:ascii="仿宋" w:hAnsi="仿宋" w:eastAsia="仿宋" w:cs="仿宋"/>
          <w:b/>
          <w:kern w:val="0"/>
          <w:sz w:val="24"/>
          <w:szCs w:val="24"/>
        </w:rPr>
        <w:t>第七条 验收标准：</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在交货地现场，当场拆包，检验所有配置是否为原厂原包，若非原厂原包，拒付货款。货物须同时完全符合下列各项标准及要求方为合格：装箱单、质量合格证书、保修证书、产品使用说明书及其它应当随箱的技术资料（包括但不限于）；报价要约中涉及质量、技术、服务、鉴定、检验及验收的全部相关内容或其所指引的内容。</w:t>
      </w:r>
    </w:p>
    <w:p>
      <w:pPr>
        <w:spacing w:line="240" w:lineRule="atLeast"/>
        <w:ind w:firstLine="484" w:firstLineChars="200"/>
        <w:rPr>
          <w:rFonts w:ascii="仿宋" w:hAnsi="仿宋" w:eastAsia="仿宋" w:cs="仿宋"/>
          <w:kern w:val="0"/>
          <w:sz w:val="24"/>
          <w:szCs w:val="24"/>
        </w:rPr>
      </w:pPr>
    </w:p>
    <w:p>
      <w:pPr>
        <w:spacing w:line="240" w:lineRule="atLeast"/>
        <w:rPr>
          <w:rFonts w:ascii="仿宋" w:hAnsi="仿宋" w:eastAsia="仿宋" w:cs="仿宋"/>
          <w:b/>
          <w:kern w:val="0"/>
          <w:sz w:val="24"/>
          <w:szCs w:val="24"/>
        </w:rPr>
      </w:pPr>
      <w:r>
        <w:rPr>
          <w:rFonts w:hint="eastAsia" w:ascii="仿宋" w:hAnsi="仿宋" w:eastAsia="仿宋" w:cs="仿宋"/>
          <w:b/>
          <w:kern w:val="0"/>
          <w:sz w:val="24"/>
          <w:szCs w:val="24"/>
        </w:rPr>
        <w:t>第八条 履约保证金：</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合同签订前，乙方须向甲方交纳履约保证金，金额为合同额的**%。货物验收合格后一次性返还乙方。</w:t>
      </w:r>
    </w:p>
    <w:p>
      <w:pPr>
        <w:widowControl/>
        <w:suppressAutoHyphens/>
        <w:spacing w:before="156" w:beforeLines="50" w:line="320" w:lineRule="exact"/>
        <w:textAlignment w:val="center"/>
        <w:rPr>
          <w:rFonts w:ascii="仿宋" w:hAnsi="仿宋" w:eastAsia="仿宋" w:cs="仿宋"/>
          <w:b/>
          <w:kern w:val="0"/>
          <w:sz w:val="24"/>
        </w:rPr>
      </w:pPr>
      <w:r>
        <w:rPr>
          <w:rFonts w:hint="eastAsia" w:ascii="仿宋" w:hAnsi="仿宋" w:eastAsia="仿宋" w:cs="仿宋"/>
          <w:b/>
          <w:kern w:val="0"/>
          <w:sz w:val="24"/>
          <w:szCs w:val="24"/>
        </w:rPr>
        <w:t>第九条 付款方式：</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合同签订后首付款为合同额的**%，货到现场安装调试验收合格后付款合同额的**%，留合同额的**%作为质保金，预留**个月。</w:t>
      </w:r>
    </w:p>
    <w:p>
      <w:pPr>
        <w:spacing w:line="240" w:lineRule="atLeast"/>
        <w:ind w:firstLine="484" w:firstLineChars="200"/>
        <w:rPr>
          <w:rFonts w:ascii="仿宋" w:hAnsi="仿宋" w:eastAsia="仿宋" w:cs="仿宋"/>
          <w:kern w:val="0"/>
          <w:sz w:val="24"/>
          <w:szCs w:val="24"/>
        </w:rPr>
      </w:pPr>
    </w:p>
    <w:p>
      <w:pPr>
        <w:spacing w:line="240" w:lineRule="atLeast"/>
        <w:rPr>
          <w:rFonts w:ascii="仿宋" w:hAnsi="仿宋" w:eastAsia="仿宋" w:cs="仿宋"/>
          <w:b/>
          <w:kern w:val="0"/>
          <w:sz w:val="24"/>
          <w:szCs w:val="24"/>
        </w:rPr>
      </w:pPr>
      <w:r>
        <w:rPr>
          <w:rFonts w:hint="eastAsia" w:ascii="仿宋" w:hAnsi="仿宋" w:eastAsia="仿宋" w:cs="仿宋"/>
          <w:b/>
          <w:kern w:val="0"/>
          <w:sz w:val="24"/>
          <w:szCs w:val="24"/>
        </w:rPr>
        <w:t>第十条 其它约定事项：</w:t>
      </w:r>
    </w:p>
    <w:p>
      <w:pPr>
        <w:spacing w:line="240" w:lineRule="atLeast"/>
        <w:rPr>
          <w:rFonts w:ascii="仿宋" w:hAnsi="仿宋" w:eastAsia="仿宋" w:cs="仿宋"/>
          <w:kern w:val="0"/>
          <w:sz w:val="24"/>
          <w:szCs w:val="24"/>
        </w:rPr>
      </w:pPr>
      <w:r>
        <w:rPr>
          <w:rFonts w:hint="eastAsia" w:ascii="仿宋" w:hAnsi="仿宋" w:eastAsia="仿宋" w:cs="仿宋"/>
          <w:b/>
          <w:kern w:val="0"/>
          <w:sz w:val="24"/>
          <w:szCs w:val="24"/>
        </w:rPr>
        <w:t xml:space="preserve">    </w:t>
      </w:r>
      <w:r>
        <w:rPr>
          <w:rFonts w:hint="eastAsia" w:ascii="仿宋" w:hAnsi="仿宋" w:eastAsia="仿宋" w:cs="仿宋"/>
          <w:kern w:val="0"/>
          <w:sz w:val="24"/>
          <w:szCs w:val="24"/>
        </w:rPr>
        <w:t>（1）乙方须按时履行开具发票的义务。（2）乙方免费提供技术培训。（3）乙方在运输、搬运、安装、调试（含施工）、培训过程中严格执行国家安全方面的相关规定，若发生人员伤亡事故，责任由乙方负责。（3）该系统如涉及压力仪表、安全阀等需取得质检部门出具的效验合格证明。（4）系统中如涉及压力管道、压力容器等特种设备的，需办理特种设备检验及登记手续。（5）乙方在设备安装、维修过程中如动用明火作业、布设电源线、引进易燃易爆设备等应到买方相关处室办理手续，进行审批备案。</w:t>
      </w:r>
    </w:p>
    <w:p>
      <w:pPr>
        <w:spacing w:line="240" w:lineRule="atLeast"/>
        <w:rPr>
          <w:rFonts w:ascii="仿宋" w:hAnsi="仿宋" w:eastAsia="仿宋" w:cs="仿宋"/>
          <w:b/>
          <w:kern w:val="0"/>
          <w:sz w:val="24"/>
          <w:szCs w:val="24"/>
        </w:rPr>
      </w:pPr>
    </w:p>
    <w:p>
      <w:pPr>
        <w:spacing w:line="240" w:lineRule="atLeast"/>
        <w:rPr>
          <w:rFonts w:ascii="仿宋" w:hAnsi="仿宋" w:eastAsia="仿宋" w:cs="仿宋"/>
          <w:b/>
          <w:kern w:val="0"/>
          <w:sz w:val="24"/>
          <w:szCs w:val="24"/>
        </w:rPr>
      </w:pPr>
      <w:r>
        <w:rPr>
          <w:rFonts w:hint="eastAsia" w:ascii="仿宋" w:hAnsi="仿宋" w:eastAsia="仿宋" w:cs="仿宋"/>
          <w:b/>
          <w:color w:val="000000"/>
          <w:kern w:val="0"/>
          <w:sz w:val="24"/>
          <w:szCs w:val="24"/>
        </w:rPr>
        <w:t>第十一条 违约责</w:t>
      </w:r>
      <w:r>
        <w:rPr>
          <w:rFonts w:hint="eastAsia" w:ascii="仿宋" w:hAnsi="仿宋" w:eastAsia="仿宋" w:cs="仿宋"/>
          <w:b/>
          <w:kern w:val="0"/>
          <w:sz w:val="24"/>
          <w:szCs w:val="24"/>
        </w:rPr>
        <w:t>任</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1）迟延交货壹天，需交纳总合同额千分之一的滞纳金；（2）若所供设备与合同或响应性文件不符，需退回已付货款，同时交纳总合同额**%的违约金。（3）若货物为假冒伪劣产品，乙方应按照合同总金额的2倍向甲方支付惩罚性赔偿金，若该赔偿未达到给甲方造成损失的2倍，则乙方应当支付给甲方造成损失的2倍的惩罚性赔偿金，且并不当然免除其依法应受的其它处罚。</w:t>
      </w:r>
    </w:p>
    <w:p>
      <w:pPr>
        <w:widowControl/>
        <w:suppressAutoHyphens/>
        <w:spacing w:before="156" w:beforeLines="50" w:line="320" w:lineRule="exact"/>
        <w:textAlignment w:val="center"/>
        <w:rPr>
          <w:rFonts w:ascii="仿宋" w:hAnsi="仿宋" w:eastAsia="仿宋" w:cs="仿宋"/>
          <w:sz w:val="24"/>
        </w:rPr>
      </w:pPr>
      <w:r>
        <w:rPr>
          <w:rFonts w:hint="eastAsia" w:ascii="仿宋" w:hAnsi="仿宋" w:eastAsia="仿宋" w:cs="仿宋"/>
          <w:b/>
          <w:kern w:val="0"/>
          <w:sz w:val="24"/>
          <w:szCs w:val="24"/>
        </w:rPr>
        <w:t>第十二条 争议解决方式：</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本合同在履行过程中若发生争议，由双方协商解决；协商不成，向甲方所在地人民法院提起诉讼。</w:t>
      </w:r>
    </w:p>
    <w:p>
      <w:pPr>
        <w:spacing w:line="240" w:lineRule="atLeast"/>
        <w:rPr>
          <w:rFonts w:ascii="仿宋" w:hAnsi="仿宋" w:eastAsia="仿宋" w:cs="仿宋"/>
          <w:kern w:val="0"/>
          <w:sz w:val="24"/>
          <w:szCs w:val="24"/>
        </w:rPr>
      </w:pPr>
    </w:p>
    <w:p>
      <w:pPr>
        <w:spacing w:line="240" w:lineRule="atLeast"/>
        <w:rPr>
          <w:rFonts w:ascii="仿宋" w:hAnsi="仿宋" w:eastAsia="仿宋" w:cs="仿宋"/>
          <w:sz w:val="24"/>
          <w:szCs w:val="24"/>
        </w:rPr>
      </w:pPr>
      <w:r>
        <w:rPr>
          <w:rFonts w:hint="eastAsia" w:ascii="仿宋" w:hAnsi="仿宋" w:eastAsia="仿宋" w:cs="仿宋"/>
          <w:b/>
          <w:sz w:val="24"/>
          <w:szCs w:val="24"/>
        </w:rPr>
        <w:t xml:space="preserve">第十三条 </w:t>
      </w:r>
      <w:r>
        <w:rPr>
          <w:rFonts w:hint="eastAsia" w:ascii="仿宋" w:hAnsi="仿宋" w:eastAsia="仿宋" w:cs="仿宋"/>
          <w:sz w:val="24"/>
          <w:szCs w:val="24"/>
        </w:rPr>
        <w:t>本合同一式五份，甲方持有四份，乙方持有一份，具有同等效力，经双方签字盖章后生效。</w:t>
      </w: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r>
        <w:rPr>
          <w:rFonts w:hint="eastAsia" w:ascii="仿宋" w:hAnsi="仿宋" w:eastAsia="仿宋" w:cs="仿宋"/>
          <w:b/>
          <w:sz w:val="24"/>
          <w:szCs w:val="24"/>
        </w:rPr>
        <w:t xml:space="preserve">第十四条 </w:t>
      </w:r>
      <w:r>
        <w:rPr>
          <w:rFonts w:hint="eastAsia" w:ascii="仿宋" w:hAnsi="仿宋" w:eastAsia="仿宋" w:cs="仿宋"/>
          <w:sz w:val="24"/>
          <w:szCs w:val="24"/>
        </w:rPr>
        <w:t>本合同未尽事宜，经双方协商一致后签订补充协议，补充协议是本合同的组成部分，与本合同具有同等效力。</w:t>
      </w: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p>
    <w:p>
      <w:pPr>
        <w:spacing w:line="440" w:lineRule="exact"/>
        <w:rPr>
          <w:rStyle w:val="42"/>
          <w:rFonts w:hint="default" w:ascii="仿宋" w:hAnsi="仿宋" w:eastAsia="仿宋" w:cs="仿宋"/>
          <w:sz w:val="24"/>
          <w:szCs w:val="24"/>
        </w:rPr>
      </w:pPr>
      <w:r>
        <w:rPr>
          <w:rFonts w:hint="eastAsia" w:ascii="仿宋" w:hAnsi="仿宋" w:eastAsia="仿宋" w:cs="仿宋"/>
          <w:b/>
          <w:kern w:val="0"/>
          <w:sz w:val="24"/>
          <w:szCs w:val="24"/>
        </w:rPr>
        <w:t>甲方：哈尔滨工程大学（章）                       乙方：**********</w:t>
      </w:r>
      <w:r>
        <w:rPr>
          <w:rFonts w:hint="eastAsia" w:ascii="仿宋" w:hAnsi="仿宋" w:eastAsia="仿宋" w:cs="楷体_GB2312"/>
          <w:b/>
          <w:bCs/>
          <w:kern w:val="0"/>
          <w:sz w:val="24"/>
        </w:rPr>
        <w:t>******</w:t>
      </w:r>
      <w:r>
        <w:rPr>
          <w:rStyle w:val="42"/>
          <w:rFonts w:hint="default" w:ascii="仿宋" w:hAnsi="仿宋" w:eastAsia="仿宋" w:cs="仿宋"/>
          <w:sz w:val="24"/>
          <w:szCs w:val="24"/>
        </w:rPr>
        <w:t>(章）</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开户行：</w:t>
      </w:r>
      <w:r>
        <w:rPr>
          <w:rFonts w:hint="eastAsia" w:ascii="仿宋" w:hAnsi="仿宋" w:eastAsia="仿宋" w:cs="仿宋"/>
          <w:kern w:val="0"/>
          <w:sz w:val="24"/>
          <w:szCs w:val="24"/>
        </w:rPr>
        <w:t xml:space="preserve">中国工商银行股份有限公司哈尔滨宣桥支行   </w:t>
      </w:r>
      <w:r>
        <w:rPr>
          <w:rFonts w:hint="eastAsia" w:ascii="仿宋" w:hAnsi="仿宋" w:eastAsia="仿宋" w:cs="仿宋"/>
          <w:b/>
          <w:kern w:val="0"/>
          <w:sz w:val="24"/>
          <w:szCs w:val="24"/>
        </w:rPr>
        <w:t>开户行：********</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帐号：</w:t>
      </w:r>
      <w:r>
        <w:rPr>
          <w:rFonts w:hint="eastAsia" w:ascii="仿宋" w:hAnsi="仿宋" w:eastAsia="仿宋" w:cs="仿宋"/>
          <w:kern w:val="0"/>
          <w:sz w:val="24"/>
          <w:szCs w:val="24"/>
        </w:rPr>
        <w:t xml:space="preserve">3500040709008802226                        </w:t>
      </w:r>
      <w:r>
        <w:rPr>
          <w:rFonts w:hint="eastAsia" w:ascii="仿宋" w:hAnsi="仿宋" w:eastAsia="仿宋" w:cs="仿宋"/>
          <w:b/>
          <w:kern w:val="0"/>
          <w:sz w:val="24"/>
          <w:szCs w:val="24"/>
        </w:rPr>
        <w:t>帐号：********</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税号：</w:t>
      </w:r>
      <w:r>
        <w:rPr>
          <w:rFonts w:hint="eastAsia" w:ascii="仿宋" w:hAnsi="仿宋" w:eastAsia="仿宋" w:cs="仿宋"/>
          <w:kern w:val="0"/>
          <w:sz w:val="24"/>
          <w:szCs w:val="24"/>
        </w:rPr>
        <w:t xml:space="preserve">12100000424006211L                         </w:t>
      </w:r>
      <w:r>
        <w:rPr>
          <w:rFonts w:hint="eastAsia" w:ascii="仿宋" w:hAnsi="仿宋" w:eastAsia="仿宋" w:cs="仿宋"/>
          <w:b/>
          <w:kern w:val="0"/>
          <w:sz w:val="24"/>
          <w:szCs w:val="24"/>
        </w:rPr>
        <w:t>税号：</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 xml:space="preserve">法定代表人（委托代理人）：                       法定代表人：                   </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项目负责人：                                     委托代理人：</w:t>
      </w:r>
    </w:p>
    <w:p>
      <w:pPr>
        <w:spacing w:line="440" w:lineRule="exact"/>
        <w:rPr>
          <w:rFonts w:ascii="仿宋" w:hAnsi="仿宋" w:eastAsia="仿宋" w:cs="仿宋"/>
          <w:b/>
          <w:kern w:val="0"/>
          <w:sz w:val="24"/>
          <w:szCs w:val="24"/>
        </w:rPr>
      </w:pPr>
      <w:r>
        <w:rPr>
          <w:rFonts w:hint="eastAsia" w:ascii="仿宋" w:hAnsi="仿宋" w:eastAsia="仿宋" w:cs="仿宋"/>
          <w:b/>
          <w:kern w:val="0"/>
          <w:sz w:val="24"/>
          <w:szCs w:val="24"/>
        </w:rPr>
        <w:t xml:space="preserve">                  </w:t>
      </w:r>
      <w:r>
        <w:rPr>
          <w:rFonts w:hint="eastAsia" w:ascii="仿宋" w:hAnsi="仿宋" w:eastAsia="仿宋" w:cs="仿宋"/>
          <w:kern w:val="0"/>
          <w:sz w:val="24"/>
          <w:szCs w:val="24"/>
        </w:rPr>
        <w:t xml:space="preserve">年  月  日 </w:t>
      </w:r>
      <w:r>
        <w:rPr>
          <w:rFonts w:hint="eastAsia" w:ascii="仿宋" w:hAnsi="仿宋" w:eastAsia="仿宋" w:cs="仿宋"/>
          <w:b/>
          <w:kern w:val="0"/>
          <w:sz w:val="24"/>
          <w:szCs w:val="24"/>
        </w:rPr>
        <w:t xml:space="preserve">                     </w:t>
      </w:r>
      <w:r>
        <w:rPr>
          <w:rFonts w:hint="eastAsia" w:ascii="仿宋" w:hAnsi="仿宋" w:eastAsia="仿宋" w:cs="仿宋"/>
          <w:kern w:val="0"/>
          <w:sz w:val="24"/>
          <w:szCs w:val="24"/>
        </w:rPr>
        <w:t>年  月  日</w:t>
      </w:r>
    </w:p>
    <w:p>
      <w:pPr>
        <w:jc w:val="center"/>
        <w:rPr>
          <w:rFonts w:hint="eastAsia" w:ascii="黑体" w:hAnsi="黑体" w:eastAsia="黑体"/>
          <w:b/>
          <w:position w:val="16"/>
          <w:sz w:val="36"/>
          <w:szCs w:val="36"/>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snapToGrid w:val="0"/>
        <w:spacing w:line="360" w:lineRule="auto"/>
        <w:ind w:left="450"/>
        <w:jc w:val="center"/>
        <w:rPr>
          <w:rFonts w:hint="eastAsia" w:ascii="宋体" w:hAnsi="宋体" w:eastAsia="宋体" w:cs="宋体"/>
          <w:sz w:val="21"/>
          <w:szCs w:val="21"/>
          <w:highlight w:val="none"/>
        </w:rPr>
      </w:pPr>
    </w:p>
    <w:p>
      <w:pPr>
        <w:snapToGrid w:val="0"/>
        <w:spacing w:line="360" w:lineRule="auto"/>
        <w:ind w:left="450"/>
        <w:jc w:val="center"/>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snapToGrid w:val="0"/>
        <w:spacing w:line="360" w:lineRule="auto"/>
        <w:ind w:left="450"/>
        <w:jc w:val="center"/>
        <w:outlineLvl w:val="0"/>
        <w:rPr>
          <w:rFonts w:hint="eastAsia" w:ascii="黑体" w:hAnsi="黑体" w:eastAsia="黑体" w:cs="黑体"/>
          <w:b/>
          <w:bCs/>
          <w:sz w:val="36"/>
          <w:szCs w:val="36"/>
          <w:highlight w:val="none"/>
        </w:rPr>
      </w:pPr>
      <w:bookmarkStart w:id="60" w:name="_Toc13827"/>
    </w:p>
    <w:p>
      <w:pPr>
        <w:snapToGrid w:val="0"/>
        <w:spacing w:line="360" w:lineRule="auto"/>
        <w:ind w:left="450"/>
        <w:jc w:val="center"/>
        <w:outlineLvl w:val="0"/>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第五部分  响应文件格式及附件</w:t>
      </w:r>
      <w:bookmarkEnd w:id="60"/>
    </w:p>
    <w:p>
      <w:pPr>
        <w:snapToGrid w:val="0"/>
        <w:spacing w:line="360" w:lineRule="auto"/>
        <w:ind w:firstLine="527" w:firstLineChars="218"/>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《响应文件格式》是参加磋商活动供应商的部分响应文件格式，请参照这些格式编制响应文件。</w:t>
      </w:r>
    </w:p>
    <w:p>
      <w:pPr>
        <w:widowControl/>
        <w:jc w:val="center"/>
        <w:rPr>
          <w:rFonts w:hint="eastAsia" w:ascii="宋体" w:hAnsi="宋体" w:eastAsia="宋体" w:cs="宋体"/>
          <w:b/>
          <w:bCs/>
          <w:sz w:val="30"/>
          <w:szCs w:val="30"/>
          <w:highlight w:val="none"/>
        </w:rPr>
      </w:pPr>
      <w:r>
        <w:rPr>
          <w:rFonts w:hint="eastAsia" w:ascii="黑体" w:hAnsi="黑体" w:eastAsia="黑体" w:cs="黑体"/>
          <w:b/>
          <w:bCs/>
          <w:sz w:val="30"/>
          <w:szCs w:val="30"/>
          <w:highlight w:val="none"/>
        </w:rPr>
        <w:br w:type="page"/>
      </w:r>
    </w:p>
    <w:p>
      <w:pPr>
        <w:widowControl/>
        <w:jc w:val="center"/>
        <w:rPr>
          <w:rFonts w:eastAsia="黑体"/>
          <w:sz w:val="24"/>
        </w:rPr>
      </w:pPr>
      <w:r>
        <w:rPr>
          <w:rStyle w:val="22"/>
          <w:rFonts w:hint="eastAsia"/>
        </w:rPr>
        <w:t>1、响应文件封面格式</w:t>
      </w:r>
    </w:p>
    <w:p>
      <w:pPr>
        <w:widowControl/>
        <w:jc w:val="center"/>
        <w:rPr>
          <w:rFonts w:eastAsia="黑体"/>
          <w:sz w:val="36"/>
          <w:szCs w:val="36"/>
        </w:rPr>
      </w:pPr>
    </w:p>
    <w:p>
      <w:pPr>
        <w:widowControl/>
        <w:jc w:val="center"/>
        <w:rPr>
          <w:rFonts w:eastAsia="黑体"/>
          <w:b/>
          <w:sz w:val="84"/>
          <w:szCs w:val="84"/>
        </w:rPr>
      </w:pPr>
      <w:r>
        <w:rPr>
          <w:rFonts w:hint="eastAsia" w:eastAsia="黑体"/>
          <w:b/>
          <w:sz w:val="84"/>
          <w:szCs w:val="84"/>
        </w:rPr>
        <w:t>政 府 采 购</w:t>
      </w:r>
    </w:p>
    <w:p>
      <w:pPr>
        <w:widowControl/>
        <w:jc w:val="center"/>
        <w:rPr>
          <w:rFonts w:eastAsia="黑体"/>
          <w:b/>
          <w:sz w:val="84"/>
          <w:szCs w:val="84"/>
        </w:rPr>
      </w:pPr>
      <w:r>
        <w:rPr>
          <w:rFonts w:hint="eastAsia" w:eastAsia="黑体"/>
          <w:b/>
          <w:sz w:val="84"/>
          <w:szCs w:val="84"/>
        </w:rPr>
        <w:t>响 应 文 件</w:t>
      </w:r>
    </w:p>
    <w:p>
      <w:pPr>
        <w:widowControl/>
        <w:jc w:val="center"/>
        <w:rPr>
          <w:rFonts w:eastAsia="黑体"/>
          <w:sz w:val="36"/>
          <w:szCs w:val="36"/>
        </w:rPr>
      </w:pPr>
    </w:p>
    <w:p>
      <w:pPr>
        <w:widowControl/>
        <w:ind w:firstLine="2567" w:firstLineChars="850"/>
        <w:rPr>
          <w:rFonts w:hint="eastAsia" w:eastAsia="黑体"/>
          <w:b/>
          <w:sz w:val="30"/>
          <w:szCs w:val="30"/>
          <w:lang w:eastAsia="zh-CN"/>
        </w:rPr>
      </w:pPr>
      <w:r>
        <w:rPr>
          <w:rFonts w:hint="eastAsia" w:eastAsia="黑体"/>
          <w:b/>
          <w:sz w:val="30"/>
          <w:szCs w:val="30"/>
        </w:rPr>
        <w:t xml:space="preserve">项目名称：        </w:t>
      </w:r>
    </w:p>
    <w:p>
      <w:pPr>
        <w:widowControl/>
        <w:ind w:firstLine="2567" w:firstLineChars="850"/>
        <w:rPr>
          <w:rFonts w:eastAsia="黑体"/>
          <w:b/>
          <w:sz w:val="30"/>
          <w:szCs w:val="30"/>
        </w:rPr>
      </w:pPr>
      <w:r>
        <w:rPr>
          <w:rFonts w:hint="eastAsia" w:eastAsia="黑体"/>
          <w:b/>
          <w:sz w:val="30"/>
          <w:szCs w:val="30"/>
        </w:rPr>
        <w:t xml:space="preserve">项目编号：  </w:t>
      </w: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spacing w:line="480" w:lineRule="auto"/>
        <w:ind w:firstLine="363" w:firstLineChars="150"/>
        <w:rPr>
          <w:rFonts w:eastAsia="黑体"/>
          <w:b/>
          <w:sz w:val="24"/>
        </w:rPr>
      </w:pPr>
      <w:r>
        <w:rPr>
          <w:rFonts w:hint="eastAsia" w:eastAsia="黑体"/>
          <w:b/>
          <w:sz w:val="24"/>
        </w:rPr>
        <w:t>报价单位：（公章）</w:t>
      </w:r>
    </w:p>
    <w:p>
      <w:pPr>
        <w:widowControl/>
        <w:spacing w:line="480" w:lineRule="auto"/>
        <w:ind w:firstLine="363" w:firstLineChars="150"/>
        <w:rPr>
          <w:rFonts w:eastAsia="黑体"/>
          <w:b/>
          <w:sz w:val="24"/>
        </w:rPr>
      </w:pPr>
      <w:r>
        <w:rPr>
          <w:rFonts w:hint="eastAsia" w:eastAsia="黑体"/>
          <w:b/>
          <w:sz w:val="24"/>
        </w:rPr>
        <w:t>法定代表人或</w:t>
      </w:r>
      <w:r>
        <w:rPr>
          <w:rFonts w:hint="eastAsia" w:ascii="黑体" w:hAnsi="黑体" w:eastAsia="黑体" w:cs="黑体"/>
          <w:b/>
          <w:sz w:val="24"/>
        </w:rPr>
        <w:t>授</w:t>
      </w:r>
      <w:r>
        <w:rPr>
          <w:rFonts w:hint="eastAsia" w:eastAsia="黑体"/>
          <w:b/>
          <w:sz w:val="24"/>
        </w:rPr>
        <w:t xml:space="preserve">权代表：                 </w:t>
      </w:r>
    </w:p>
    <w:p>
      <w:pPr>
        <w:widowControl/>
        <w:spacing w:line="480" w:lineRule="auto"/>
        <w:ind w:firstLine="363" w:firstLineChars="150"/>
        <w:rPr>
          <w:rFonts w:eastAsia="黑体"/>
          <w:b/>
          <w:sz w:val="24"/>
        </w:rPr>
      </w:pPr>
      <w:r>
        <w:rPr>
          <w:rFonts w:hint="eastAsia" w:eastAsia="黑体"/>
          <w:b/>
          <w:sz w:val="24"/>
        </w:rPr>
        <w:t>电    话：</w:t>
      </w:r>
    </w:p>
    <w:p>
      <w:pPr>
        <w:widowControl/>
        <w:spacing w:line="480" w:lineRule="auto"/>
        <w:ind w:firstLine="363" w:firstLineChars="150"/>
        <w:rPr>
          <w:rFonts w:eastAsia="黑体"/>
          <w:b/>
          <w:sz w:val="24"/>
        </w:rPr>
      </w:pPr>
      <w:r>
        <w:rPr>
          <w:rFonts w:hint="eastAsia" w:eastAsia="黑体"/>
          <w:b/>
          <w:sz w:val="24"/>
        </w:rPr>
        <w:t>磋商日期：</w:t>
      </w:r>
    </w:p>
    <w:p>
      <w:pPr>
        <w:snapToGrid w:val="0"/>
        <w:spacing w:line="360" w:lineRule="auto"/>
        <w:ind w:left="450"/>
        <w:jc w:val="center"/>
        <w:rPr>
          <w:rFonts w:eastAsia="黑体"/>
          <w:sz w:val="36"/>
          <w:szCs w:val="36"/>
        </w:rPr>
      </w:pPr>
    </w:p>
    <w:p>
      <w:pPr>
        <w:widowControl/>
        <w:spacing w:line="480" w:lineRule="auto"/>
        <w:ind w:firstLine="318" w:firstLineChars="150"/>
        <w:rPr>
          <w:rFonts w:hint="eastAsia" w:ascii="宋体" w:hAnsi="宋体" w:eastAsia="宋体" w:cs="宋体"/>
          <w:b/>
          <w:sz w:val="21"/>
          <w:szCs w:val="21"/>
          <w:highlight w:val="none"/>
        </w:rPr>
      </w:pPr>
    </w:p>
    <w:p>
      <w:pPr>
        <w:snapToGrid w:val="0"/>
        <w:spacing w:line="360" w:lineRule="auto"/>
        <w:ind w:left="450"/>
        <w:jc w:val="center"/>
        <w:rPr>
          <w:rFonts w:hint="eastAsia" w:ascii="宋体" w:hAnsi="宋体" w:eastAsia="宋体" w:cs="宋体"/>
          <w:sz w:val="21"/>
          <w:szCs w:val="21"/>
          <w:highlight w:val="none"/>
        </w:rPr>
      </w:pPr>
    </w:p>
    <w:p>
      <w:pPr>
        <w:snapToGrid w:val="0"/>
        <w:spacing w:line="360" w:lineRule="auto"/>
        <w:ind w:left="450"/>
        <w:jc w:val="center"/>
        <w:rPr>
          <w:rFonts w:hint="eastAsia" w:ascii="宋体" w:hAnsi="宋体" w:eastAsia="宋体" w:cs="宋体"/>
          <w:sz w:val="21"/>
          <w:szCs w:val="21"/>
          <w:highlight w:val="none"/>
        </w:rPr>
      </w:pPr>
    </w:p>
    <w:p>
      <w:pPr>
        <w:snapToGrid w:val="0"/>
        <w:spacing w:line="360" w:lineRule="auto"/>
        <w:ind w:left="45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br w:type="page"/>
      </w:r>
    </w:p>
    <w:p>
      <w:pPr>
        <w:snapToGrid w:val="0"/>
        <w:spacing w:line="360" w:lineRule="auto"/>
        <w:ind w:left="450"/>
        <w:jc w:val="center"/>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rPr>
        <w:t>2、报  价  书</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致：(代理机构名称)</w:t>
      </w:r>
    </w:p>
    <w:p>
      <w:pPr>
        <w:snapToGrid w:val="0"/>
        <w:spacing w:line="480" w:lineRule="auto"/>
        <w:jc w:val="center"/>
        <w:rPr>
          <w:rFonts w:hint="eastAsia" w:ascii="宋体" w:hAnsi="宋体" w:eastAsia="宋体" w:cs="宋体"/>
          <w:sz w:val="21"/>
          <w:szCs w:val="21"/>
          <w:highlight w:val="none"/>
        </w:rPr>
      </w:pPr>
    </w:p>
    <w:p>
      <w:pPr>
        <w:snapToGrid w:val="0"/>
        <w:spacing w:line="48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根据贵方为</w:t>
      </w:r>
      <w:r>
        <w:rPr>
          <w:rFonts w:hint="eastAsia" w:ascii="宋体" w:hAnsi="宋体" w:eastAsia="宋体" w:cs="宋体"/>
          <w:sz w:val="21"/>
          <w:szCs w:val="21"/>
          <w:highlight w:val="none"/>
          <w:u w:val="single"/>
        </w:rPr>
        <w:t>(项目名称</w:t>
      </w:r>
      <w:r>
        <w:rPr>
          <w:rFonts w:hint="eastAsia" w:ascii="宋体" w:hAnsi="宋体" w:eastAsia="宋体" w:cs="宋体"/>
          <w:sz w:val="21"/>
          <w:szCs w:val="21"/>
          <w:highlight w:val="none"/>
        </w:rPr>
        <w:t>)项目</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包竞争性磋商采购的磋商邀请(</w:t>
      </w:r>
      <w:r>
        <w:rPr>
          <w:rFonts w:hint="eastAsia" w:ascii="宋体" w:hAnsi="宋体" w:eastAsia="宋体" w:cs="宋体"/>
          <w:sz w:val="21"/>
          <w:szCs w:val="21"/>
          <w:highlight w:val="none"/>
          <w:u w:val="single"/>
        </w:rPr>
        <w:t>采购编号</w:t>
      </w:r>
      <w:r>
        <w:rPr>
          <w:rFonts w:hint="eastAsia" w:ascii="宋体" w:hAnsi="宋体" w:eastAsia="宋体" w:cs="宋体"/>
          <w:sz w:val="21"/>
          <w:szCs w:val="21"/>
          <w:highlight w:val="none"/>
        </w:rPr>
        <w:t>)，签字代表(姓名、职务)经正式授权并代表供应商</w:t>
      </w:r>
      <w:r>
        <w:rPr>
          <w:rFonts w:hint="eastAsia" w:ascii="宋体" w:hAnsi="宋体" w:eastAsia="宋体" w:cs="宋体"/>
          <w:sz w:val="21"/>
          <w:szCs w:val="21"/>
          <w:highlight w:val="none"/>
          <w:u w:val="single"/>
        </w:rPr>
        <w:t>(供应商名称、地址</w:t>
      </w:r>
      <w:r>
        <w:rPr>
          <w:rFonts w:hint="eastAsia" w:ascii="宋体" w:hAnsi="宋体" w:eastAsia="宋体" w:cs="宋体"/>
          <w:sz w:val="21"/>
          <w:szCs w:val="21"/>
          <w:highlight w:val="none"/>
        </w:rPr>
        <w:t>)提交下述文件正本一份及副本四份:</w:t>
      </w:r>
    </w:p>
    <w:p>
      <w:pPr>
        <w:snapToGrid w:val="0"/>
        <w:spacing w:line="480" w:lineRule="auto"/>
        <w:ind w:firstLine="848"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据此函,签字代表宣布同意如下:</w:t>
      </w:r>
    </w:p>
    <w:p>
      <w:pPr>
        <w:snapToGrid w:val="0"/>
        <w:spacing w:line="480" w:lineRule="auto"/>
        <w:ind w:firstLine="848"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 供应商将按竞争性磋商文件的规定履行合同责任和义务。</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 供应商已详细审查全部竞争性磋商文件，我方愿</w:t>
      </w:r>
      <w:r>
        <w:rPr>
          <w:rFonts w:hint="eastAsia" w:ascii="宋体" w:hAnsi="宋体" w:eastAsia="宋体" w:cs="宋体"/>
          <w:sz w:val="21"/>
          <w:szCs w:val="21"/>
          <w:highlight w:val="none"/>
          <w:u w:val="single"/>
        </w:rPr>
        <w:t>（ 大写：      元；小写：      元，供货期为        ，质量标准：        。）</w:t>
      </w:r>
    </w:p>
    <w:p>
      <w:pPr>
        <w:snapToGrid w:val="0"/>
        <w:spacing w:line="480" w:lineRule="auto"/>
        <w:ind w:firstLine="848" w:firstLineChars="4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 本次采购有效期为自磋商日起</w:t>
      </w:r>
      <w:r>
        <w:rPr>
          <w:rFonts w:hint="eastAsia" w:ascii="宋体" w:hAnsi="宋体" w:eastAsia="宋体" w:cs="宋体"/>
          <w:sz w:val="21"/>
          <w:szCs w:val="21"/>
          <w:highlight w:val="none"/>
          <w:u w:val="single"/>
          <w:lang w:val="en-US" w:eastAsia="zh-CN"/>
        </w:rPr>
        <w:t>120</w:t>
      </w:r>
      <w:r>
        <w:rPr>
          <w:rFonts w:hint="eastAsia" w:ascii="宋体" w:hAnsi="宋体" w:eastAsia="宋体" w:cs="宋体"/>
          <w:sz w:val="21"/>
          <w:szCs w:val="21"/>
          <w:highlight w:val="none"/>
        </w:rPr>
        <w:t>个日历日。</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4. 如果在规定的磋商时间后，供应商在采购有效期内撤回响应文件，其磋商保证金将被贵方没收。</w:t>
      </w:r>
    </w:p>
    <w:p>
      <w:pPr>
        <w:snapToGrid w:val="0"/>
        <w:spacing w:line="48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 供应商同意提供按照贵方可能要求的与其磋商有关的一切数据或资料。</w:t>
      </w:r>
    </w:p>
    <w:p>
      <w:pPr>
        <w:snapToGrid w:val="0"/>
        <w:spacing w:line="480" w:lineRule="auto"/>
        <w:ind w:firstLine="848" w:firstLineChars="4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 与本磋商有关的一切正式往来信函请寄:</w:t>
      </w:r>
    </w:p>
    <w:p>
      <w:pPr>
        <w:snapToGrid w:val="0"/>
        <w:spacing w:line="480" w:lineRule="auto"/>
        <w:jc w:val="center"/>
        <w:rPr>
          <w:rFonts w:hint="eastAsia" w:ascii="宋体" w:hAnsi="宋体" w:eastAsia="宋体" w:cs="宋体"/>
          <w:sz w:val="21"/>
          <w:szCs w:val="21"/>
          <w:highlight w:val="none"/>
        </w:rPr>
      </w:pPr>
    </w:p>
    <w:p>
      <w:pPr>
        <w:snapToGrid w:val="0"/>
        <w:spacing w:line="480" w:lineRule="auto"/>
        <w:jc w:val="left"/>
        <w:rPr>
          <w:rFonts w:hint="eastAsia" w:ascii="宋体" w:hAnsi="宋体" w:eastAsia="宋体" w:cs="宋体"/>
          <w:sz w:val="21"/>
          <w:szCs w:val="21"/>
          <w:highlight w:val="none"/>
        </w:rPr>
      </w:pPr>
    </w:p>
    <w:p>
      <w:pPr>
        <w:snapToGrid w:val="0"/>
        <w:spacing w:line="480" w:lineRule="auto"/>
        <w:ind w:firstLine="848"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  址                                  传  真</w:t>
      </w:r>
    </w:p>
    <w:p>
      <w:pPr>
        <w:snapToGrid w:val="0"/>
        <w:spacing w:line="480" w:lineRule="auto"/>
        <w:ind w:firstLine="848"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电  话                                  电子函件</w:t>
      </w:r>
    </w:p>
    <w:p>
      <w:pPr>
        <w:snapToGrid w:val="0"/>
        <w:spacing w:line="480" w:lineRule="auto"/>
        <w:jc w:val="center"/>
        <w:rPr>
          <w:rFonts w:hint="eastAsia" w:ascii="宋体" w:hAnsi="宋体" w:eastAsia="宋体" w:cs="宋体"/>
          <w:sz w:val="21"/>
          <w:szCs w:val="21"/>
          <w:highlight w:val="none"/>
        </w:rPr>
      </w:pPr>
    </w:p>
    <w:p>
      <w:pPr>
        <w:snapToGrid w:val="0"/>
        <w:spacing w:line="480" w:lineRule="auto"/>
        <w:jc w:val="left"/>
        <w:rPr>
          <w:rFonts w:hint="eastAsia" w:ascii="宋体" w:hAnsi="宋体" w:eastAsia="宋体" w:cs="宋体"/>
          <w:sz w:val="21"/>
          <w:szCs w:val="21"/>
          <w:highlight w:val="none"/>
        </w:rPr>
      </w:pPr>
    </w:p>
    <w:p>
      <w:pPr>
        <w:snapToGrid w:val="0"/>
        <w:spacing w:line="480" w:lineRule="auto"/>
        <w:ind w:firstLine="424"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供应商代表签字：                             </w:t>
      </w:r>
    </w:p>
    <w:p>
      <w:pPr>
        <w:snapToGrid w:val="0"/>
        <w:spacing w:line="480" w:lineRule="auto"/>
        <w:jc w:val="left"/>
        <w:rPr>
          <w:rFonts w:hint="eastAsia" w:ascii="宋体" w:hAnsi="宋体" w:eastAsia="宋体" w:cs="宋体"/>
          <w:sz w:val="21"/>
          <w:szCs w:val="21"/>
          <w:highlight w:val="none"/>
        </w:rPr>
      </w:pPr>
    </w:p>
    <w:p>
      <w:pPr>
        <w:snapToGrid w:val="0"/>
        <w:spacing w:line="480" w:lineRule="auto"/>
        <w:ind w:firstLine="424"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snapToGrid w:val="0"/>
        <w:spacing w:line="480" w:lineRule="auto"/>
        <w:ind w:firstLine="424"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rPr>
        <w:br w:type="page"/>
      </w:r>
      <w:r>
        <w:rPr>
          <w:rFonts w:hint="eastAsia" w:ascii="宋体" w:hAnsi="宋体" w:eastAsia="宋体" w:cs="宋体"/>
          <w:b/>
          <w:bCs/>
          <w:sz w:val="36"/>
          <w:szCs w:val="36"/>
          <w:highlight w:val="none"/>
        </w:rPr>
        <w:t>3、初始报价一览表</w:t>
      </w: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bl>
      <w:tblPr>
        <w:tblStyle w:val="19"/>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628"/>
        <w:gridCol w:w="2238"/>
        <w:gridCol w:w="2461"/>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1482"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628"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2238"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货物报价</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价格（元）</w:t>
            </w:r>
          </w:p>
        </w:tc>
        <w:tc>
          <w:tcPr>
            <w:tcW w:w="2461"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货物市场</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价格（元）</w:t>
            </w:r>
          </w:p>
        </w:tc>
        <w:tc>
          <w:tcPr>
            <w:tcW w:w="1753"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482" w:type="dxa"/>
          </w:tcPr>
          <w:p>
            <w:pPr>
              <w:snapToGrid w:val="0"/>
              <w:spacing w:line="360" w:lineRule="auto"/>
              <w:jc w:val="center"/>
              <w:rPr>
                <w:rFonts w:hint="eastAsia" w:ascii="宋体" w:hAnsi="宋体" w:eastAsia="宋体" w:cs="宋体"/>
                <w:sz w:val="24"/>
                <w:szCs w:val="24"/>
                <w:highlight w:val="none"/>
              </w:rPr>
            </w:pPr>
          </w:p>
        </w:tc>
        <w:tc>
          <w:tcPr>
            <w:tcW w:w="1628" w:type="dxa"/>
          </w:tcPr>
          <w:p>
            <w:pPr>
              <w:snapToGrid w:val="0"/>
              <w:spacing w:line="360" w:lineRule="auto"/>
              <w:rPr>
                <w:rFonts w:hint="eastAsia" w:ascii="宋体" w:hAnsi="宋体" w:eastAsia="宋体" w:cs="宋体"/>
                <w:sz w:val="24"/>
                <w:szCs w:val="24"/>
                <w:highlight w:val="none"/>
              </w:rPr>
            </w:pPr>
          </w:p>
        </w:tc>
        <w:tc>
          <w:tcPr>
            <w:tcW w:w="2238" w:type="dxa"/>
          </w:tcPr>
          <w:p>
            <w:pPr>
              <w:snapToGrid w:val="0"/>
              <w:spacing w:line="360" w:lineRule="auto"/>
              <w:rPr>
                <w:rFonts w:hint="eastAsia" w:ascii="宋体" w:hAnsi="宋体" w:eastAsia="宋体" w:cs="宋体"/>
                <w:sz w:val="24"/>
                <w:szCs w:val="24"/>
                <w:highlight w:val="none"/>
              </w:rPr>
            </w:pPr>
          </w:p>
        </w:tc>
        <w:tc>
          <w:tcPr>
            <w:tcW w:w="2461" w:type="dxa"/>
            <w:vAlign w:val="center"/>
          </w:tcPr>
          <w:p>
            <w:pPr>
              <w:snapToGrid w:val="0"/>
              <w:spacing w:line="360" w:lineRule="auto"/>
              <w:jc w:val="center"/>
              <w:rPr>
                <w:rFonts w:hint="eastAsia" w:ascii="宋体" w:hAnsi="宋体" w:eastAsia="宋体" w:cs="宋体"/>
                <w:sz w:val="24"/>
                <w:szCs w:val="24"/>
                <w:highlight w:val="none"/>
              </w:rPr>
            </w:pPr>
          </w:p>
        </w:tc>
        <w:tc>
          <w:tcPr>
            <w:tcW w:w="1753" w:type="dxa"/>
            <w:vAlign w:val="center"/>
          </w:tcPr>
          <w:p>
            <w:pPr>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482" w:type="dxa"/>
          </w:tcPr>
          <w:p>
            <w:pPr>
              <w:snapToGrid w:val="0"/>
              <w:spacing w:line="360" w:lineRule="auto"/>
              <w:rPr>
                <w:rFonts w:hint="eastAsia" w:ascii="宋体" w:hAnsi="宋体" w:eastAsia="宋体" w:cs="宋体"/>
                <w:sz w:val="24"/>
                <w:szCs w:val="24"/>
                <w:highlight w:val="none"/>
              </w:rPr>
            </w:pPr>
          </w:p>
        </w:tc>
        <w:tc>
          <w:tcPr>
            <w:tcW w:w="1628" w:type="dxa"/>
          </w:tcPr>
          <w:p>
            <w:pPr>
              <w:snapToGrid w:val="0"/>
              <w:spacing w:line="360" w:lineRule="auto"/>
              <w:rPr>
                <w:rFonts w:hint="eastAsia" w:ascii="宋体" w:hAnsi="宋体" w:eastAsia="宋体" w:cs="宋体"/>
                <w:sz w:val="24"/>
                <w:szCs w:val="24"/>
                <w:highlight w:val="none"/>
              </w:rPr>
            </w:pPr>
          </w:p>
        </w:tc>
        <w:tc>
          <w:tcPr>
            <w:tcW w:w="2238" w:type="dxa"/>
          </w:tcPr>
          <w:p>
            <w:pPr>
              <w:snapToGrid w:val="0"/>
              <w:spacing w:line="360" w:lineRule="auto"/>
              <w:rPr>
                <w:rFonts w:hint="eastAsia" w:ascii="宋体" w:hAnsi="宋体" w:eastAsia="宋体" w:cs="宋体"/>
                <w:sz w:val="24"/>
                <w:szCs w:val="24"/>
                <w:highlight w:val="none"/>
              </w:rPr>
            </w:pPr>
          </w:p>
        </w:tc>
        <w:tc>
          <w:tcPr>
            <w:tcW w:w="2461" w:type="dxa"/>
            <w:vAlign w:val="center"/>
          </w:tcPr>
          <w:p>
            <w:pPr>
              <w:snapToGrid w:val="0"/>
              <w:spacing w:line="360" w:lineRule="auto"/>
              <w:jc w:val="center"/>
              <w:rPr>
                <w:rFonts w:hint="eastAsia" w:ascii="宋体" w:hAnsi="宋体" w:eastAsia="宋体" w:cs="宋体"/>
                <w:sz w:val="24"/>
                <w:szCs w:val="24"/>
                <w:highlight w:val="none"/>
              </w:rPr>
            </w:pPr>
          </w:p>
        </w:tc>
        <w:tc>
          <w:tcPr>
            <w:tcW w:w="1753" w:type="dxa"/>
            <w:vAlign w:val="center"/>
          </w:tcPr>
          <w:p>
            <w:pPr>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482" w:type="dxa"/>
          </w:tcPr>
          <w:p>
            <w:pPr>
              <w:snapToGrid w:val="0"/>
              <w:spacing w:line="360" w:lineRule="auto"/>
              <w:rPr>
                <w:rFonts w:hint="eastAsia" w:ascii="宋体" w:hAnsi="宋体" w:eastAsia="宋体" w:cs="宋体"/>
                <w:sz w:val="24"/>
                <w:szCs w:val="24"/>
                <w:highlight w:val="none"/>
              </w:rPr>
            </w:pPr>
          </w:p>
        </w:tc>
        <w:tc>
          <w:tcPr>
            <w:tcW w:w="1628" w:type="dxa"/>
          </w:tcPr>
          <w:p>
            <w:pPr>
              <w:snapToGrid w:val="0"/>
              <w:spacing w:line="360" w:lineRule="auto"/>
              <w:rPr>
                <w:rFonts w:hint="eastAsia" w:ascii="宋体" w:hAnsi="宋体" w:eastAsia="宋体" w:cs="宋体"/>
                <w:sz w:val="24"/>
                <w:szCs w:val="24"/>
                <w:highlight w:val="none"/>
              </w:rPr>
            </w:pPr>
          </w:p>
        </w:tc>
        <w:tc>
          <w:tcPr>
            <w:tcW w:w="2238" w:type="dxa"/>
          </w:tcPr>
          <w:p>
            <w:pPr>
              <w:snapToGrid w:val="0"/>
              <w:spacing w:line="360" w:lineRule="auto"/>
              <w:rPr>
                <w:rFonts w:hint="eastAsia" w:ascii="宋体" w:hAnsi="宋体" w:eastAsia="宋体" w:cs="宋体"/>
                <w:sz w:val="24"/>
                <w:szCs w:val="24"/>
                <w:highlight w:val="none"/>
              </w:rPr>
            </w:pPr>
          </w:p>
        </w:tc>
        <w:tc>
          <w:tcPr>
            <w:tcW w:w="2461" w:type="dxa"/>
            <w:vAlign w:val="center"/>
          </w:tcPr>
          <w:p>
            <w:pPr>
              <w:snapToGrid w:val="0"/>
              <w:spacing w:line="360" w:lineRule="auto"/>
              <w:jc w:val="center"/>
              <w:rPr>
                <w:rFonts w:hint="eastAsia" w:ascii="宋体" w:hAnsi="宋体" w:eastAsia="宋体" w:cs="宋体"/>
                <w:sz w:val="24"/>
                <w:szCs w:val="24"/>
                <w:highlight w:val="none"/>
              </w:rPr>
            </w:pPr>
          </w:p>
        </w:tc>
        <w:tc>
          <w:tcPr>
            <w:tcW w:w="1753" w:type="dxa"/>
            <w:vAlign w:val="center"/>
          </w:tcPr>
          <w:p>
            <w:pPr>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482" w:type="dxa"/>
          </w:tcPr>
          <w:p>
            <w:pPr>
              <w:snapToGrid w:val="0"/>
              <w:spacing w:line="360" w:lineRule="auto"/>
              <w:rPr>
                <w:rFonts w:hint="eastAsia" w:ascii="宋体" w:hAnsi="宋体" w:eastAsia="宋体" w:cs="宋体"/>
                <w:sz w:val="24"/>
                <w:szCs w:val="24"/>
                <w:highlight w:val="none"/>
              </w:rPr>
            </w:pPr>
          </w:p>
        </w:tc>
        <w:tc>
          <w:tcPr>
            <w:tcW w:w="1628" w:type="dxa"/>
          </w:tcPr>
          <w:p>
            <w:pPr>
              <w:snapToGrid w:val="0"/>
              <w:spacing w:line="360" w:lineRule="auto"/>
              <w:rPr>
                <w:rFonts w:hint="eastAsia" w:ascii="宋体" w:hAnsi="宋体" w:eastAsia="宋体" w:cs="宋体"/>
                <w:sz w:val="24"/>
                <w:szCs w:val="24"/>
                <w:highlight w:val="none"/>
              </w:rPr>
            </w:pPr>
          </w:p>
        </w:tc>
        <w:tc>
          <w:tcPr>
            <w:tcW w:w="2238" w:type="dxa"/>
          </w:tcPr>
          <w:p>
            <w:pPr>
              <w:snapToGrid w:val="0"/>
              <w:spacing w:line="360" w:lineRule="auto"/>
              <w:rPr>
                <w:rFonts w:hint="eastAsia" w:ascii="宋体" w:hAnsi="宋体" w:eastAsia="宋体" w:cs="宋体"/>
                <w:sz w:val="24"/>
                <w:szCs w:val="24"/>
                <w:highlight w:val="none"/>
              </w:rPr>
            </w:pPr>
          </w:p>
        </w:tc>
        <w:tc>
          <w:tcPr>
            <w:tcW w:w="2461" w:type="dxa"/>
            <w:vAlign w:val="center"/>
          </w:tcPr>
          <w:p>
            <w:pPr>
              <w:snapToGrid w:val="0"/>
              <w:spacing w:line="360" w:lineRule="auto"/>
              <w:jc w:val="center"/>
              <w:rPr>
                <w:rFonts w:hint="eastAsia" w:ascii="宋体" w:hAnsi="宋体" w:eastAsia="宋体" w:cs="宋体"/>
                <w:sz w:val="24"/>
                <w:szCs w:val="24"/>
                <w:highlight w:val="none"/>
              </w:rPr>
            </w:pPr>
          </w:p>
        </w:tc>
        <w:tc>
          <w:tcPr>
            <w:tcW w:w="1753" w:type="dxa"/>
            <w:vAlign w:val="center"/>
          </w:tcPr>
          <w:p>
            <w:pPr>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482" w:type="dxa"/>
          </w:tcPr>
          <w:p>
            <w:pPr>
              <w:snapToGrid w:val="0"/>
              <w:spacing w:line="360" w:lineRule="auto"/>
              <w:rPr>
                <w:rFonts w:hint="eastAsia" w:ascii="宋体" w:hAnsi="宋体" w:eastAsia="宋体" w:cs="宋体"/>
                <w:sz w:val="24"/>
                <w:szCs w:val="24"/>
                <w:highlight w:val="none"/>
              </w:rPr>
            </w:pPr>
          </w:p>
        </w:tc>
        <w:tc>
          <w:tcPr>
            <w:tcW w:w="1628" w:type="dxa"/>
          </w:tcPr>
          <w:p>
            <w:pPr>
              <w:snapToGrid w:val="0"/>
              <w:spacing w:line="360" w:lineRule="auto"/>
              <w:rPr>
                <w:rFonts w:hint="eastAsia" w:ascii="宋体" w:hAnsi="宋体" w:eastAsia="宋体" w:cs="宋体"/>
                <w:sz w:val="24"/>
                <w:szCs w:val="24"/>
                <w:highlight w:val="none"/>
              </w:rPr>
            </w:pPr>
          </w:p>
        </w:tc>
        <w:tc>
          <w:tcPr>
            <w:tcW w:w="2238" w:type="dxa"/>
          </w:tcPr>
          <w:p>
            <w:pPr>
              <w:snapToGrid w:val="0"/>
              <w:spacing w:line="360" w:lineRule="auto"/>
              <w:rPr>
                <w:rFonts w:hint="eastAsia" w:ascii="宋体" w:hAnsi="宋体" w:eastAsia="宋体" w:cs="宋体"/>
                <w:sz w:val="24"/>
                <w:szCs w:val="24"/>
                <w:highlight w:val="none"/>
              </w:rPr>
            </w:pPr>
          </w:p>
        </w:tc>
        <w:tc>
          <w:tcPr>
            <w:tcW w:w="2461" w:type="dxa"/>
            <w:vAlign w:val="center"/>
          </w:tcPr>
          <w:p>
            <w:pPr>
              <w:snapToGrid w:val="0"/>
              <w:spacing w:line="360" w:lineRule="auto"/>
              <w:jc w:val="center"/>
              <w:rPr>
                <w:rFonts w:hint="eastAsia" w:ascii="宋体" w:hAnsi="宋体" w:eastAsia="宋体" w:cs="宋体"/>
                <w:sz w:val="24"/>
                <w:szCs w:val="24"/>
                <w:highlight w:val="none"/>
              </w:rPr>
            </w:pPr>
          </w:p>
        </w:tc>
        <w:tc>
          <w:tcPr>
            <w:tcW w:w="1753" w:type="dxa"/>
            <w:vAlign w:val="center"/>
          </w:tcPr>
          <w:p>
            <w:pPr>
              <w:snapToGrid w:val="0"/>
              <w:spacing w:line="360" w:lineRule="auto"/>
              <w:jc w:val="center"/>
              <w:rPr>
                <w:rFonts w:hint="eastAsia" w:ascii="宋体" w:hAnsi="宋体" w:eastAsia="宋体" w:cs="宋体"/>
                <w:sz w:val="24"/>
                <w:szCs w:val="24"/>
                <w:highlight w:val="none"/>
              </w:rPr>
            </w:pPr>
          </w:p>
        </w:tc>
      </w:tr>
    </w:tbl>
    <w:p>
      <w:pPr>
        <w:snapToGrid w:val="0"/>
        <w:spacing w:line="360" w:lineRule="auto"/>
        <w:jc w:val="left"/>
        <w:rPr>
          <w:rFonts w:hint="eastAsia" w:ascii="宋体" w:hAnsi="宋体" w:eastAsia="宋体" w:cs="宋体"/>
          <w:sz w:val="24"/>
          <w:szCs w:val="24"/>
          <w:highlight w:val="none"/>
        </w:rPr>
      </w:pPr>
    </w:p>
    <w:p>
      <w:pPr>
        <w:snapToGrid w:val="0"/>
        <w:spacing w:line="360" w:lineRule="auto"/>
        <w:jc w:val="left"/>
        <w:rPr>
          <w:rFonts w:hint="eastAsia" w:ascii="宋体" w:hAnsi="宋体" w:eastAsia="宋体" w:cs="宋体"/>
          <w:sz w:val="24"/>
          <w:szCs w:val="24"/>
          <w:highlight w:val="none"/>
        </w:rPr>
      </w:pPr>
    </w:p>
    <w:p>
      <w:pPr>
        <w:snapToGrid w:val="0"/>
        <w:spacing w:line="360" w:lineRule="auto"/>
        <w:ind w:firstLine="484"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ind w:firstLine="484"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snapToGrid w:val="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4、详细配置明细表</w:t>
      </w:r>
    </w:p>
    <w:p>
      <w:pPr>
        <w:snapToGrid w:val="0"/>
        <w:jc w:val="center"/>
        <w:rPr>
          <w:rFonts w:hint="eastAsia" w:ascii="宋体" w:hAnsi="宋体" w:eastAsia="宋体" w:cs="宋体"/>
          <w:sz w:val="24"/>
          <w:szCs w:val="24"/>
          <w:highlight w:val="none"/>
        </w:rPr>
      </w:pPr>
    </w:p>
    <w:p>
      <w:pPr>
        <w:snapToGrid w:val="0"/>
        <w:spacing w:line="360" w:lineRule="auto"/>
        <w:ind w:firstLine="103" w:firstLineChars="4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snapToGrid w:val="0"/>
        <w:spacing w:line="360" w:lineRule="auto"/>
        <w:ind w:firstLine="103" w:firstLineChars="4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（第     包）</w:t>
      </w:r>
    </w:p>
    <w:tbl>
      <w:tblPr>
        <w:tblStyle w:val="19"/>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07"/>
        <w:gridCol w:w="2818"/>
        <w:gridCol w:w="711"/>
        <w:gridCol w:w="713"/>
        <w:gridCol w:w="74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00"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 号</w:t>
            </w:r>
          </w:p>
        </w:tc>
        <w:tc>
          <w:tcPr>
            <w:tcW w:w="1207"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2818" w:type="dxa"/>
            <w:vAlign w:val="center"/>
          </w:tcPr>
          <w:p>
            <w:pPr>
              <w:snapToGrid w:val="0"/>
              <w:spacing w:line="360" w:lineRule="auto"/>
              <w:ind w:firstLine="242"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主要技术参数和要求</w:t>
            </w:r>
          </w:p>
        </w:tc>
        <w:tc>
          <w:tcPr>
            <w:tcW w:w="711"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品牌型号产地</w:t>
            </w:r>
          </w:p>
        </w:tc>
        <w:tc>
          <w:tcPr>
            <w:tcW w:w="713"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745"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c>
          <w:tcPr>
            <w:tcW w:w="1481"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00" w:type="dxa"/>
            <w:vAlign w:val="center"/>
          </w:tcPr>
          <w:p>
            <w:pPr>
              <w:snapToGrid w:val="0"/>
              <w:spacing w:line="360" w:lineRule="auto"/>
              <w:jc w:val="center"/>
              <w:rPr>
                <w:rFonts w:hint="eastAsia" w:ascii="宋体" w:hAnsi="宋体" w:eastAsia="宋体" w:cs="宋体"/>
                <w:sz w:val="24"/>
                <w:szCs w:val="24"/>
                <w:highlight w:val="none"/>
              </w:rPr>
            </w:pPr>
          </w:p>
        </w:tc>
        <w:tc>
          <w:tcPr>
            <w:tcW w:w="1207" w:type="dxa"/>
          </w:tcPr>
          <w:p>
            <w:pPr>
              <w:snapToGrid w:val="0"/>
              <w:spacing w:line="360" w:lineRule="auto"/>
              <w:jc w:val="distribute"/>
              <w:rPr>
                <w:rFonts w:hint="eastAsia" w:ascii="宋体" w:hAnsi="宋体" w:eastAsia="宋体" w:cs="宋体"/>
                <w:sz w:val="24"/>
                <w:szCs w:val="24"/>
                <w:highlight w:val="none"/>
              </w:rPr>
            </w:pPr>
          </w:p>
        </w:tc>
        <w:tc>
          <w:tcPr>
            <w:tcW w:w="2818" w:type="dxa"/>
          </w:tcPr>
          <w:p>
            <w:pPr>
              <w:snapToGrid w:val="0"/>
              <w:spacing w:line="360" w:lineRule="auto"/>
              <w:rPr>
                <w:rFonts w:hint="eastAsia" w:ascii="宋体" w:hAnsi="宋体" w:eastAsia="宋体" w:cs="宋体"/>
                <w:sz w:val="24"/>
                <w:szCs w:val="24"/>
                <w:highlight w:val="none"/>
              </w:rPr>
            </w:pPr>
          </w:p>
        </w:tc>
        <w:tc>
          <w:tcPr>
            <w:tcW w:w="711" w:type="dxa"/>
          </w:tcPr>
          <w:p>
            <w:pPr>
              <w:snapToGrid w:val="0"/>
              <w:spacing w:line="360" w:lineRule="auto"/>
              <w:jc w:val="center"/>
              <w:rPr>
                <w:rFonts w:hint="eastAsia" w:ascii="宋体" w:hAnsi="宋体" w:eastAsia="宋体" w:cs="宋体"/>
                <w:sz w:val="24"/>
                <w:szCs w:val="24"/>
                <w:highlight w:val="none"/>
              </w:rPr>
            </w:pPr>
          </w:p>
        </w:tc>
        <w:tc>
          <w:tcPr>
            <w:tcW w:w="713" w:type="dxa"/>
          </w:tcPr>
          <w:p>
            <w:pPr>
              <w:snapToGrid w:val="0"/>
              <w:spacing w:line="360" w:lineRule="auto"/>
              <w:jc w:val="center"/>
              <w:rPr>
                <w:rFonts w:hint="eastAsia" w:ascii="宋体" w:hAnsi="宋体" w:eastAsia="宋体" w:cs="宋体"/>
                <w:sz w:val="24"/>
                <w:szCs w:val="24"/>
                <w:highlight w:val="none"/>
              </w:rPr>
            </w:pPr>
          </w:p>
        </w:tc>
        <w:tc>
          <w:tcPr>
            <w:tcW w:w="745" w:type="dxa"/>
            <w:vAlign w:val="center"/>
          </w:tcPr>
          <w:p>
            <w:pPr>
              <w:snapToGrid w:val="0"/>
              <w:spacing w:line="360" w:lineRule="auto"/>
              <w:jc w:val="center"/>
              <w:rPr>
                <w:rFonts w:hint="eastAsia" w:ascii="宋体" w:hAnsi="宋体" w:eastAsia="宋体" w:cs="宋体"/>
                <w:sz w:val="24"/>
                <w:szCs w:val="24"/>
                <w:highlight w:val="none"/>
              </w:rPr>
            </w:pPr>
          </w:p>
        </w:tc>
        <w:tc>
          <w:tcPr>
            <w:tcW w:w="1481" w:type="dxa"/>
          </w:tcPr>
          <w:p>
            <w:pPr>
              <w:snapToGrid w:val="0"/>
              <w:spacing w:line="360" w:lineRule="auto"/>
              <w:ind w:left="45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00" w:type="dxa"/>
            <w:vAlign w:val="center"/>
          </w:tcPr>
          <w:p>
            <w:pPr>
              <w:snapToGrid w:val="0"/>
              <w:spacing w:line="360" w:lineRule="auto"/>
              <w:jc w:val="center"/>
              <w:rPr>
                <w:rFonts w:hint="eastAsia" w:ascii="宋体" w:hAnsi="宋体" w:eastAsia="宋体" w:cs="宋体"/>
                <w:sz w:val="24"/>
                <w:szCs w:val="24"/>
                <w:highlight w:val="none"/>
              </w:rPr>
            </w:pPr>
          </w:p>
        </w:tc>
        <w:tc>
          <w:tcPr>
            <w:tcW w:w="1207" w:type="dxa"/>
          </w:tcPr>
          <w:p>
            <w:pPr>
              <w:snapToGrid w:val="0"/>
              <w:spacing w:line="360" w:lineRule="auto"/>
              <w:jc w:val="distribute"/>
              <w:rPr>
                <w:rFonts w:hint="eastAsia" w:ascii="宋体" w:hAnsi="宋体" w:eastAsia="宋体" w:cs="宋体"/>
                <w:sz w:val="24"/>
                <w:szCs w:val="24"/>
                <w:highlight w:val="none"/>
              </w:rPr>
            </w:pPr>
          </w:p>
        </w:tc>
        <w:tc>
          <w:tcPr>
            <w:tcW w:w="2818" w:type="dxa"/>
          </w:tcPr>
          <w:p>
            <w:pPr>
              <w:snapToGrid w:val="0"/>
              <w:spacing w:line="360" w:lineRule="auto"/>
              <w:rPr>
                <w:rFonts w:hint="eastAsia" w:ascii="宋体" w:hAnsi="宋体" w:eastAsia="宋体" w:cs="宋体"/>
                <w:sz w:val="24"/>
                <w:szCs w:val="24"/>
                <w:highlight w:val="none"/>
              </w:rPr>
            </w:pPr>
          </w:p>
        </w:tc>
        <w:tc>
          <w:tcPr>
            <w:tcW w:w="711" w:type="dxa"/>
          </w:tcPr>
          <w:p>
            <w:pPr>
              <w:snapToGrid w:val="0"/>
              <w:spacing w:line="360" w:lineRule="auto"/>
              <w:jc w:val="center"/>
              <w:rPr>
                <w:rFonts w:hint="eastAsia" w:ascii="宋体" w:hAnsi="宋体" w:eastAsia="宋体" w:cs="宋体"/>
                <w:sz w:val="24"/>
                <w:szCs w:val="24"/>
                <w:highlight w:val="none"/>
              </w:rPr>
            </w:pPr>
          </w:p>
        </w:tc>
        <w:tc>
          <w:tcPr>
            <w:tcW w:w="713" w:type="dxa"/>
          </w:tcPr>
          <w:p>
            <w:pPr>
              <w:snapToGrid w:val="0"/>
              <w:spacing w:line="360" w:lineRule="auto"/>
              <w:jc w:val="center"/>
              <w:rPr>
                <w:rFonts w:hint="eastAsia" w:ascii="宋体" w:hAnsi="宋体" w:eastAsia="宋体" w:cs="宋体"/>
                <w:sz w:val="24"/>
                <w:szCs w:val="24"/>
                <w:highlight w:val="none"/>
              </w:rPr>
            </w:pPr>
          </w:p>
        </w:tc>
        <w:tc>
          <w:tcPr>
            <w:tcW w:w="745" w:type="dxa"/>
            <w:vAlign w:val="center"/>
          </w:tcPr>
          <w:p>
            <w:pPr>
              <w:snapToGrid w:val="0"/>
              <w:spacing w:line="360" w:lineRule="auto"/>
              <w:jc w:val="center"/>
              <w:rPr>
                <w:rFonts w:hint="eastAsia" w:ascii="宋体" w:hAnsi="宋体" w:eastAsia="宋体" w:cs="宋体"/>
                <w:sz w:val="24"/>
                <w:szCs w:val="24"/>
                <w:highlight w:val="none"/>
              </w:rPr>
            </w:pPr>
          </w:p>
        </w:tc>
        <w:tc>
          <w:tcPr>
            <w:tcW w:w="1481" w:type="dxa"/>
          </w:tcPr>
          <w:p>
            <w:pPr>
              <w:snapToGrid w:val="0"/>
              <w:spacing w:line="360" w:lineRule="auto"/>
              <w:ind w:left="45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00"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7675" w:type="dxa"/>
            <w:gridSpan w:val="6"/>
          </w:tcPr>
          <w:p>
            <w:pPr>
              <w:snapToGrid w:val="0"/>
              <w:spacing w:line="360" w:lineRule="auto"/>
              <w:ind w:left="450"/>
              <w:rPr>
                <w:rFonts w:hint="eastAsia" w:ascii="宋体" w:hAnsi="宋体" w:eastAsia="宋体" w:cs="宋体"/>
                <w:sz w:val="24"/>
                <w:szCs w:val="24"/>
                <w:highlight w:val="none"/>
              </w:rPr>
            </w:pPr>
          </w:p>
        </w:tc>
      </w:tr>
    </w:tbl>
    <w:p>
      <w:pPr>
        <w:snapToGrid w:val="0"/>
        <w:spacing w:line="360" w:lineRule="auto"/>
        <w:jc w:val="center"/>
        <w:rPr>
          <w:rFonts w:hint="eastAsia" w:ascii="宋体" w:hAnsi="宋体" w:eastAsia="宋体" w:cs="宋体"/>
          <w:sz w:val="24"/>
          <w:szCs w:val="24"/>
          <w:highlight w:val="none"/>
        </w:rPr>
      </w:pP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snapToGrid w:val="0"/>
        <w:spacing w:line="480" w:lineRule="auto"/>
        <w:ind w:left="450"/>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5、技术偏离表</w:t>
      </w:r>
    </w:p>
    <w:p>
      <w:pPr>
        <w:snapToGrid w:val="0"/>
        <w:spacing w:line="360" w:lineRule="auto"/>
        <w:ind w:firstLine="316" w:firstLineChars="13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snapToGrid w:val="0"/>
        <w:spacing w:line="360" w:lineRule="auto"/>
        <w:ind w:firstLine="316" w:firstLineChars="13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pPr>
        <w:snapToGrid w:val="0"/>
        <w:spacing w:line="360" w:lineRule="auto"/>
        <w:ind w:left="4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（第     包）</w:t>
      </w:r>
    </w:p>
    <w:tbl>
      <w:tblPr>
        <w:tblStyle w:val="19"/>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910"/>
        <w:gridCol w:w="978"/>
        <w:gridCol w:w="1978"/>
        <w:gridCol w:w="252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32"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910"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978"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1978" w:type="dxa"/>
            <w:vAlign w:val="center"/>
          </w:tcPr>
          <w:p>
            <w:pPr>
              <w:snapToGrid w:val="0"/>
              <w:ind w:firstLine="242"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磋商文件的</w:t>
            </w:r>
          </w:p>
          <w:p>
            <w:pPr>
              <w:snapToGrid w:val="0"/>
              <w:ind w:firstLine="242"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参数和要求</w:t>
            </w:r>
          </w:p>
        </w:tc>
        <w:tc>
          <w:tcPr>
            <w:tcW w:w="2522"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响应文件参数</w:t>
            </w:r>
          </w:p>
        </w:tc>
        <w:tc>
          <w:tcPr>
            <w:tcW w:w="1253"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  离</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632" w:type="dxa"/>
            <w:vAlign w:val="center"/>
          </w:tcPr>
          <w:p>
            <w:pPr>
              <w:snapToGrid w:val="0"/>
              <w:jc w:val="center"/>
              <w:rPr>
                <w:rFonts w:hint="eastAsia" w:ascii="宋体" w:hAnsi="宋体" w:eastAsia="宋体" w:cs="宋体"/>
                <w:sz w:val="24"/>
                <w:szCs w:val="24"/>
                <w:highlight w:val="none"/>
              </w:rPr>
            </w:pPr>
          </w:p>
        </w:tc>
        <w:tc>
          <w:tcPr>
            <w:tcW w:w="910" w:type="dxa"/>
            <w:vAlign w:val="center"/>
          </w:tcPr>
          <w:p>
            <w:pPr>
              <w:snapToGrid w:val="0"/>
              <w:jc w:val="center"/>
              <w:rPr>
                <w:rFonts w:hint="eastAsia" w:ascii="宋体" w:hAnsi="宋体" w:eastAsia="宋体" w:cs="宋体"/>
                <w:sz w:val="24"/>
                <w:szCs w:val="24"/>
                <w:highlight w:val="none"/>
              </w:rPr>
            </w:pPr>
          </w:p>
        </w:tc>
        <w:tc>
          <w:tcPr>
            <w:tcW w:w="978" w:type="dxa"/>
            <w:vAlign w:val="center"/>
          </w:tcPr>
          <w:p>
            <w:pPr>
              <w:snapToGrid w:val="0"/>
              <w:jc w:val="center"/>
              <w:rPr>
                <w:rFonts w:hint="eastAsia" w:ascii="宋体" w:hAnsi="宋体" w:eastAsia="宋体" w:cs="宋体"/>
                <w:sz w:val="24"/>
                <w:szCs w:val="24"/>
                <w:highlight w:val="none"/>
              </w:rPr>
            </w:pPr>
          </w:p>
        </w:tc>
        <w:tc>
          <w:tcPr>
            <w:tcW w:w="1978" w:type="dxa"/>
            <w:vAlign w:val="center"/>
          </w:tcPr>
          <w:p>
            <w:pPr>
              <w:snapToGrid w:val="0"/>
              <w:jc w:val="center"/>
              <w:rPr>
                <w:rFonts w:hint="eastAsia" w:ascii="宋体" w:hAnsi="宋体" w:eastAsia="宋体" w:cs="宋体"/>
                <w:sz w:val="24"/>
                <w:szCs w:val="24"/>
                <w:highlight w:val="none"/>
              </w:rPr>
            </w:pPr>
          </w:p>
        </w:tc>
        <w:tc>
          <w:tcPr>
            <w:tcW w:w="2522" w:type="dxa"/>
            <w:vAlign w:val="center"/>
          </w:tcPr>
          <w:p>
            <w:pPr>
              <w:snapToGrid w:val="0"/>
              <w:jc w:val="center"/>
              <w:rPr>
                <w:rFonts w:hint="eastAsia" w:ascii="宋体" w:hAnsi="宋体" w:eastAsia="宋体" w:cs="宋体"/>
                <w:sz w:val="24"/>
                <w:szCs w:val="24"/>
                <w:highlight w:val="none"/>
              </w:rPr>
            </w:pPr>
          </w:p>
        </w:tc>
        <w:tc>
          <w:tcPr>
            <w:tcW w:w="1253" w:type="dxa"/>
            <w:vAlign w:val="center"/>
          </w:tcPr>
          <w:p>
            <w:pPr>
              <w:snapToGrid w:val="0"/>
              <w:ind w:left="4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632" w:type="dxa"/>
            <w:vAlign w:val="center"/>
          </w:tcPr>
          <w:p>
            <w:pPr>
              <w:snapToGrid w:val="0"/>
              <w:jc w:val="center"/>
              <w:rPr>
                <w:rFonts w:hint="eastAsia" w:ascii="宋体" w:hAnsi="宋体" w:eastAsia="宋体" w:cs="宋体"/>
                <w:sz w:val="24"/>
                <w:szCs w:val="24"/>
                <w:highlight w:val="none"/>
              </w:rPr>
            </w:pPr>
          </w:p>
        </w:tc>
        <w:tc>
          <w:tcPr>
            <w:tcW w:w="910" w:type="dxa"/>
            <w:vAlign w:val="center"/>
          </w:tcPr>
          <w:p>
            <w:pPr>
              <w:snapToGrid w:val="0"/>
              <w:jc w:val="center"/>
              <w:rPr>
                <w:rFonts w:hint="eastAsia" w:ascii="宋体" w:hAnsi="宋体" w:eastAsia="宋体" w:cs="宋体"/>
                <w:sz w:val="24"/>
                <w:szCs w:val="24"/>
                <w:highlight w:val="none"/>
              </w:rPr>
            </w:pPr>
          </w:p>
        </w:tc>
        <w:tc>
          <w:tcPr>
            <w:tcW w:w="978" w:type="dxa"/>
            <w:vAlign w:val="center"/>
          </w:tcPr>
          <w:p>
            <w:pPr>
              <w:snapToGrid w:val="0"/>
              <w:jc w:val="center"/>
              <w:rPr>
                <w:rFonts w:hint="eastAsia" w:ascii="宋体" w:hAnsi="宋体" w:eastAsia="宋体" w:cs="宋体"/>
                <w:sz w:val="24"/>
                <w:szCs w:val="24"/>
                <w:highlight w:val="none"/>
              </w:rPr>
            </w:pPr>
          </w:p>
        </w:tc>
        <w:tc>
          <w:tcPr>
            <w:tcW w:w="1978" w:type="dxa"/>
            <w:vAlign w:val="center"/>
          </w:tcPr>
          <w:p>
            <w:pPr>
              <w:snapToGrid w:val="0"/>
              <w:jc w:val="center"/>
              <w:rPr>
                <w:rFonts w:hint="eastAsia" w:ascii="宋体" w:hAnsi="宋体" w:eastAsia="宋体" w:cs="宋体"/>
                <w:sz w:val="24"/>
                <w:szCs w:val="24"/>
                <w:highlight w:val="none"/>
              </w:rPr>
            </w:pPr>
          </w:p>
        </w:tc>
        <w:tc>
          <w:tcPr>
            <w:tcW w:w="2522" w:type="dxa"/>
            <w:vAlign w:val="center"/>
          </w:tcPr>
          <w:p>
            <w:pPr>
              <w:snapToGrid w:val="0"/>
              <w:jc w:val="center"/>
              <w:rPr>
                <w:rFonts w:hint="eastAsia" w:ascii="宋体" w:hAnsi="宋体" w:eastAsia="宋体" w:cs="宋体"/>
                <w:sz w:val="24"/>
                <w:szCs w:val="24"/>
                <w:highlight w:val="none"/>
              </w:rPr>
            </w:pPr>
          </w:p>
        </w:tc>
        <w:tc>
          <w:tcPr>
            <w:tcW w:w="1253" w:type="dxa"/>
            <w:vAlign w:val="center"/>
          </w:tcPr>
          <w:p>
            <w:pPr>
              <w:snapToGrid w:val="0"/>
              <w:ind w:left="4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632" w:type="dxa"/>
            <w:vAlign w:val="center"/>
          </w:tcPr>
          <w:p>
            <w:pPr>
              <w:snapToGrid w:val="0"/>
              <w:jc w:val="center"/>
              <w:rPr>
                <w:rFonts w:hint="eastAsia" w:ascii="宋体" w:hAnsi="宋体" w:eastAsia="宋体" w:cs="宋体"/>
                <w:sz w:val="24"/>
                <w:szCs w:val="24"/>
                <w:highlight w:val="none"/>
              </w:rPr>
            </w:pPr>
          </w:p>
        </w:tc>
        <w:tc>
          <w:tcPr>
            <w:tcW w:w="910" w:type="dxa"/>
            <w:vAlign w:val="center"/>
          </w:tcPr>
          <w:p>
            <w:pPr>
              <w:snapToGrid w:val="0"/>
              <w:jc w:val="center"/>
              <w:rPr>
                <w:rFonts w:hint="eastAsia" w:ascii="宋体" w:hAnsi="宋体" w:eastAsia="宋体" w:cs="宋体"/>
                <w:sz w:val="24"/>
                <w:szCs w:val="24"/>
                <w:highlight w:val="none"/>
              </w:rPr>
            </w:pPr>
          </w:p>
        </w:tc>
        <w:tc>
          <w:tcPr>
            <w:tcW w:w="978" w:type="dxa"/>
            <w:vAlign w:val="center"/>
          </w:tcPr>
          <w:p>
            <w:pPr>
              <w:snapToGrid w:val="0"/>
              <w:jc w:val="center"/>
              <w:rPr>
                <w:rFonts w:hint="eastAsia" w:ascii="宋体" w:hAnsi="宋体" w:eastAsia="宋体" w:cs="宋体"/>
                <w:sz w:val="24"/>
                <w:szCs w:val="24"/>
                <w:highlight w:val="none"/>
              </w:rPr>
            </w:pPr>
          </w:p>
        </w:tc>
        <w:tc>
          <w:tcPr>
            <w:tcW w:w="1978" w:type="dxa"/>
            <w:vAlign w:val="center"/>
          </w:tcPr>
          <w:p>
            <w:pPr>
              <w:snapToGrid w:val="0"/>
              <w:jc w:val="center"/>
              <w:rPr>
                <w:rFonts w:hint="eastAsia" w:ascii="宋体" w:hAnsi="宋体" w:eastAsia="宋体" w:cs="宋体"/>
                <w:sz w:val="24"/>
                <w:szCs w:val="24"/>
                <w:highlight w:val="none"/>
              </w:rPr>
            </w:pPr>
          </w:p>
        </w:tc>
        <w:tc>
          <w:tcPr>
            <w:tcW w:w="2522" w:type="dxa"/>
            <w:vAlign w:val="center"/>
          </w:tcPr>
          <w:p>
            <w:pPr>
              <w:snapToGrid w:val="0"/>
              <w:jc w:val="center"/>
              <w:rPr>
                <w:rFonts w:hint="eastAsia" w:ascii="宋体" w:hAnsi="宋体" w:eastAsia="宋体" w:cs="宋体"/>
                <w:sz w:val="24"/>
                <w:szCs w:val="24"/>
                <w:highlight w:val="none"/>
              </w:rPr>
            </w:pPr>
          </w:p>
        </w:tc>
        <w:tc>
          <w:tcPr>
            <w:tcW w:w="1253" w:type="dxa"/>
            <w:vAlign w:val="center"/>
          </w:tcPr>
          <w:p>
            <w:pPr>
              <w:snapToGrid w:val="0"/>
              <w:ind w:left="450"/>
              <w:jc w:val="center"/>
              <w:rPr>
                <w:rFonts w:hint="eastAsia" w:ascii="宋体" w:hAnsi="宋体" w:eastAsia="宋体" w:cs="宋体"/>
                <w:sz w:val="24"/>
                <w:szCs w:val="24"/>
                <w:highlight w:val="none"/>
              </w:rPr>
            </w:pPr>
          </w:p>
        </w:tc>
      </w:tr>
    </w:tbl>
    <w:p>
      <w:pPr>
        <w:snapToGrid w:val="0"/>
        <w:spacing w:line="360" w:lineRule="auto"/>
        <w:rPr>
          <w:rFonts w:hint="eastAsia" w:ascii="宋体" w:hAnsi="宋体" w:eastAsia="宋体" w:cs="宋体"/>
          <w:sz w:val="24"/>
          <w:szCs w:val="24"/>
          <w:highlight w:val="none"/>
        </w:rPr>
      </w:pP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rPr>
          <w:rFonts w:hint="eastAsia" w:ascii="宋体" w:hAnsi="宋体" w:eastAsia="宋体" w:cs="宋体"/>
          <w:sz w:val="21"/>
          <w:szCs w:val="21"/>
          <w:highlight w:val="none"/>
        </w:rPr>
      </w:pPr>
    </w:p>
    <w:p>
      <w:pPr>
        <w:snapToGrid w:val="0"/>
        <w:spacing w:line="360" w:lineRule="auto"/>
        <w:rPr>
          <w:rFonts w:hint="eastAsia" w:ascii="宋体" w:hAnsi="宋体" w:eastAsia="宋体" w:cs="宋体"/>
          <w:sz w:val="21"/>
          <w:szCs w:val="21"/>
          <w:highlight w:val="none"/>
        </w:rPr>
      </w:pPr>
    </w:p>
    <w:p>
      <w:pPr>
        <w:snapToGrid w:val="0"/>
        <w:spacing w:line="360" w:lineRule="auto"/>
        <w:rPr>
          <w:rFonts w:hint="eastAsia" w:ascii="宋体" w:hAnsi="宋体" w:eastAsia="宋体" w:cs="宋体"/>
          <w:sz w:val="21"/>
          <w:szCs w:val="21"/>
          <w:highlight w:val="none"/>
        </w:rPr>
      </w:pPr>
    </w:p>
    <w:p>
      <w:pPr>
        <w:snapToGrid w:val="0"/>
        <w:spacing w:line="360" w:lineRule="auto"/>
        <w:rPr>
          <w:rFonts w:hint="eastAsia" w:ascii="宋体" w:hAnsi="宋体" w:eastAsia="宋体" w:cs="宋体"/>
          <w:sz w:val="21"/>
          <w:szCs w:val="21"/>
          <w:highlight w:val="none"/>
        </w:rPr>
      </w:pPr>
    </w:p>
    <w:p>
      <w:pPr>
        <w:snapToGrid w:val="0"/>
        <w:spacing w:line="360" w:lineRule="auto"/>
        <w:rPr>
          <w:rFonts w:hint="eastAsia" w:ascii="宋体" w:hAnsi="宋体" w:eastAsia="宋体" w:cs="宋体"/>
          <w:sz w:val="21"/>
          <w:szCs w:val="21"/>
          <w:highlight w:val="none"/>
        </w:rPr>
      </w:pPr>
    </w:p>
    <w:p>
      <w:pPr>
        <w:snapToGrid w:val="0"/>
        <w:spacing w:line="360" w:lineRule="auto"/>
        <w:rPr>
          <w:rFonts w:hint="eastAsia" w:ascii="宋体" w:hAnsi="宋体" w:eastAsia="宋体" w:cs="宋体"/>
          <w:sz w:val="21"/>
          <w:szCs w:val="21"/>
          <w:highlight w:val="none"/>
        </w:rPr>
      </w:pPr>
    </w:p>
    <w:p>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snapToGrid w:val="0"/>
        <w:spacing w:line="360" w:lineRule="auto"/>
        <w:rPr>
          <w:rFonts w:hint="eastAsia" w:ascii="宋体" w:hAnsi="宋体" w:eastAsia="宋体" w:cs="宋体"/>
          <w:sz w:val="21"/>
          <w:szCs w:val="21"/>
          <w:highlight w:val="none"/>
        </w:rPr>
      </w:pPr>
    </w:p>
    <w:p>
      <w:pPr>
        <w:snapToGrid w:val="0"/>
        <w:spacing w:line="360" w:lineRule="auto"/>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6、技术服务和售后服务的内容及措施</w:t>
      </w: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4"/>
          <w:szCs w:val="24"/>
          <w:highlight w:val="none"/>
        </w:rPr>
      </w:pP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jc w:val="left"/>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snapToGrid w:val="0"/>
        <w:spacing w:line="48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7、法定代表人授权书</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（报价单位全称）法定代表人</w:t>
      </w: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授权</w:t>
      </w: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（授权代表姓名）为全权代表，参加贵处组织的</w:t>
      </w: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项目（项目编号）磋商活动，全权处理本活动中的一切事宜。</w:t>
      </w:r>
    </w:p>
    <w:p>
      <w:pPr>
        <w:snapToGrid w:val="0"/>
        <w:spacing w:line="360" w:lineRule="auto"/>
        <w:ind w:firstLine="600"/>
        <w:rPr>
          <w:rFonts w:hint="eastAsia" w:ascii="宋体" w:hAnsi="宋体" w:eastAsia="宋体" w:cs="宋体"/>
          <w:sz w:val="24"/>
          <w:szCs w:val="24"/>
          <w:highlight w:val="none"/>
        </w:rPr>
      </w:pP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pacing w:val="38"/>
          <w:sz w:val="24"/>
          <w:szCs w:val="24"/>
          <w:highlight w:val="none"/>
        </w:rPr>
        <w:t>法定代表人签字</w:t>
      </w:r>
      <w:r>
        <w:rPr>
          <w:rFonts w:hint="eastAsia" w:ascii="宋体" w:hAnsi="宋体" w:eastAsia="宋体" w:cs="宋体"/>
          <w:sz w:val="24"/>
          <w:szCs w:val="24"/>
          <w:highlight w:val="none"/>
        </w:rPr>
        <w:t>：</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供应商全称（公章）：</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snapToGrid w:val="0"/>
        <w:spacing w:line="360" w:lineRule="auto"/>
        <w:rPr>
          <w:rFonts w:hint="eastAsia" w:ascii="宋体" w:hAnsi="宋体" w:eastAsia="宋体" w:cs="宋体"/>
          <w:sz w:val="24"/>
          <w:szCs w:val="24"/>
          <w:highlight w:val="none"/>
        </w:rPr>
      </w:pP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 授权代表姓名：                   授权代表（签字）：</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详细通讯地址：：</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电话（手机）：</w:t>
      </w: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widowControl/>
        <w:spacing w:before="312" w:beforeLines="100" w:line="360" w:lineRule="auto"/>
        <w:rPr>
          <w:rFonts w:hint="eastAsia" w:ascii="宋体" w:hAnsi="宋体" w:eastAsia="宋体" w:cs="宋体"/>
          <w:sz w:val="21"/>
          <w:szCs w:val="21"/>
          <w:highlight w:val="none"/>
        </w:rPr>
      </w:pPr>
    </w:p>
    <w:p>
      <w:pPr>
        <w:widowControl/>
        <w:spacing w:before="312" w:beforeLines="100" w:line="360" w:lineRule="auto"/>
        <w:jc w:val="both"/>
        <w:rPr>
          <w:rStyle w:val="22"/>
          <w:rFonts w:hint="eastAsia" w:ascii="宋体" w:hAnsi="宋体" w:eastAsia="宋体" w:cs="宋体"/>
          <w:color w:val="000000"/>
          <w:kern w:val="0"/>
          <w:sz w:val="28"/>
          <w:szCs w:val="28"/>
          <w:highlight w:val="none"/>
        </w:rPr>
      </w:pPr>
    </w:p>
    <w:p>
      <w:pPr>
        <w:widowControl/>
        <w:spacing w:before="312" w:beforeLines="100" w:line="360" w:lineRule="auto"/>
        <w:jc w:val="center"/>
        <w:rPr>
          <w:rStyle w:val="22"/>
          <w:rFonts w:hint="eastAsia" w:ascii="黑体" w:hAnsi="黑体" w:eastAsia="黑体" w:cs="黑体"/>
          <w:color w:val="000000"/>
          <w:kern w:val="0"/>
          <w:sz w:val="36"/>
          <w:szCs w:val="36"/>
          <w:highlight w:val="none"/>
        </w:rPr>
      </w:pPr>
      <w:r>
        <w:rPr>
          <w:rStyle w:val="22"/>
          <w:rFonts w:hint="eastAsia" w:ascii="黑体" w:hAnsi="黑体" w:eastAsia="黑体" w:cs="黑体"/>
          <w:color w:val="000000"/>
          <w:kern w:val="0"/>
          <w:sz w:val="36"/>
          <w:szCs w:val="36"/>
          <w:highlight w:val="none"/>
        </w:rPr>
        <w:t>8、法定代表人和授权代表身份证明</w:t>
      </w: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（法定代表人身份证复印件正反两面）</w:t>
      </w: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（授权代表身份证复印件正反两面）</w:t>
      </w: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jc w:val="center"/>
        <w:rPr>
          <w:rFonts w:hint="eastAsia" w:ascii="宋体" w:hAnsi="宋体" w:eastAsia="宋体" w:cs="宋体"/>
          <w:sz w:val="21"/>
          <w:szCs w:val="21"/>
          <w:highlight w:val="none"/>
        </w:rPr>
      </w:pPr>
    </w:p>
    <w:p>
      <w:pPr>
        <w:pStyle w:val="17"/>
        <w:spacing w:line="432" w:lineRule="auto"/>
        <w:jc w:val="both"/>
        <w:rPr>
          <w:rStyle w:val="22"/>
          <w:rFonts w:hint="eastAsia" w:ascii="宋体" w:hAnsi="宋体" w:eastAsia="宋体" w:cs="宋体"/>
          <w:sz w:val="21"/>
          <w:szCs w:val="21"/>
          <w:highlight w:val="none"/>
        </w:rPr>
      </w:pPr>
    </w:p>
    <w:p>
      <w:pPr>
        <w:pStyle w:val="17"/>
        <w:spacing w:line="432" w:lineRule="auto"/>
        <w:jc w:val="center"/>
        <w:rPr>
          <w:rStyle w:val="22"/>
          <w:rFonts w:hint="eastAsia" w:ascii="黑体" w:hAnsi="黑体" w:eastAsia="黑体" w:cs="黑体"/>
          <w:b/>
          <w:bCs/>
          <w:sz w:val="36"/>
          <w:szCs w:val="36"/>
          <w:highlight w:val="none"/>
        </w:rPr>
      </w:pPr>
    </w:p>
    <w:p>
      <w:pPr>
        <w:pStyle w:val="17"/>
        <w:spacing w:line="432" w:lineRule="auto"/>
        <w:jc w:val="center"/>
        <w:rPr>
          <w:rStyle w:val="22"/>
          <w:rFonts w:hint="eastAsia" w:ascii="黑体" w:hAnsi="黑体" w:eastAsia="黑体" w:cs="黑体"/>
          <w:b/>
          <w:bCs/>
          <w:sz w:val="36"/>
          <w:szCs w:val="36"/>
          <w:highlight w:val="none"/>
        </w:rPr>
      </w:pPr>
    </w:p>
    <w:p>
      <w:pPr>
        <w:pStyle w:val="17"/>
        <w:spacing w:line="432" w:lineRule="auto"/>
        <w:jc w:val="center"/>
        <w:rPr>
          <w:rFonts w:hint="eastAsia" w:ascii="黑体" w:hAnsi="黑体" w:eastAsia="黑体" w:cs="黑体"/>
          <w:b/>
          <w:bCs/>
          <w:sz w:val="36"/>
          <w:szCs w:val="36"/>
          <w:highlight w:val="none"/>
        </w:rPr>
      </w:pPr>
      <w:r>
        <w:rPr>
          <w:rStyle w:val="22"/>
          <w:rFonts w:hint="eastAsia" w:ascii="黑体" w:hAnsi="黑体" w:eastAsia="黑体" w:cs="黑体"/>
          <w:b/>
          <w:bCs/>
          <w:sz w:val="36"/>
          <w:szCs w:val="36"/>
          <w:highlight w:val="none"/>
        </w:rPr>
        <w:t>9、小微企业声明函</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本公司郑重声明，根据《政府采购促进中小企业发展暂行办法》（财库〔2011〕181号）的规定，本公司为______（请填写：小型、微型）企业。即，本公司同时满足以下条件：</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1.根据《工业和信息化部、国家统计局、国家发展和改革委员会、财政部关于印发中小企业划型标准规定的通知》（工信部联企业〔2011〕300号）规定的划分标准，本公司属于______行业的______（请填写：小型、微型）企业。</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2.本公司参加______单位的______项目采购活动提供本企业制造的货物，由本企业承担工程、提供服务，或者提供其他______（请填写：小型、微型）企业制造的货物。本条所称货物不包括使用大中型企业注册商标的货物。</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本公司对上述声明的真实性负责。如有虚假，将依法承担相应责任。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pPr>
        <w:spacing w:line="360" w:lineRule="auto"/>
        <w:ind w:firstLine="420"/>
        <w:rPr>
          <w:rFonts w:hint="eastAsia" w:ascii="宋体" w:hAnsi="宋体" w:eastAsia="宋体" w:cs="宋体"/>
          <w:sz w:val="24"/>
          <w:szCs w:val="24"/>
          <w:highlight w:val="none"/>
        </w:rPr>
      </w:pPr>
    </w:p>
    <w:p>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spacing w:line="360" w:lineRule="auto"/>
        <w:ind w:firstLine="420"/>
        <w:rPr>
          <w:rFonts w:hint="eastAsia" w:ascii="宋体" w:hAnsi="宋体" w:eastAsia="宋体" w:cs="宋体"/>
          <w:sz w:val="21"/>
          <w:szCs w:val="21"/>
          <w:highlight w:val="none"/>
        </w:rPr>
      </w:pPr>
    </w:p>
    <w:p>
      <w:pPr>
        <w:spacing w:line="360" w:lineRule="auto"/>
        <w:ind w:firstLine="420"/>
        <w:rPr>
          <w:rFonts w:hint="eastAsia" w:ascii="宋体" w:hAnsi="宋体" w:eastAsia="宋体" w:cs="宋体"/>
          <w:sz w:val="21"/>
          <w:szCs w:val="21"/>
          <w:highlight w:val="none"/>
        </w:rPr>
      </w:pPr>
    </w:p>
    <w:p>
      <w:pPr>
        <w:snapToGrid w:val="0"/>
        <w:spacing w:line="360" w:lineRule="auto"/>
        <w:jc w:val="center"/>
        <w:rPr>
          <w:rStyle w:val="22"/>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pStyle w:val="17"/>
        <w:spacing w:line="432" w:lineRule="auto"/>
        <w:jc w:val="center"/>
        <w:rPr>
          <w:rStyle w:val="22"/>
          <w:rFonts w:hint="eastAsia" w:ascii="黑体" w:hAnsi="黑体" w:eastAsia="黑体" w:cs="黑体"/>
          <w:sz w:val="36"/>
          <w:szCs w:val="36"/>
          <w:highlight w:val="none"/>
        </w:rPr>
      </w:pPr>
      <w:r>
        <w:rPr>
          <w:rStyle w:val="22"/>
          <w:rFonts w:hint="eastAsia" w:ascii="黑体" w:hAnsi="黑体" w:eastAsia="黑体" w:cs="黑体"/>
          <w:sz w:val="36"/>
          <w:szCs w:val="36"/>
          <w:highlight w:val="none"/>
        </w:rPr>
        <w:t>10.政府采购履约担保函</w:t>
      </w:r>
    </w:p>
    <w:p>
      <w:pPr>
        <w:rPr>
          <w:rFonts w:hint="eastAsia" w:ascii="宋体" w:hAnsi="宋体" w:eastAsia="宋体" w:cs="宋体"/>
          <w:sz w:val="21"/>
          <w:szCs w:val="21"/>
          <w:highlight w:val="none"/>
        </w:rPr>
      </w:pPr>
    </w:p>
    <w:p>
      <w:pPr>
        <w:ind w:firstLine="5808" w:firstLineChars="2400"/>
        <w:rPr>
          <w:rFonts w:hint="eastAsia" w:ascii="宋体" w:hAnsi="宋体" w:eastAsia="宋体" w:cs="宋体"/>
          <w:sz w:val="24"/>
          <w:szCs w:val="24"/>
          <w:highlight w:val="none"/>
        </w:rPr>
      </w:pPr>
      <w:r>
        <w:rPr>
          <w:rFonts w:hint="eastAsia" w:ascii="宋体" w:hAnsi="宋体" w:eastAsia="宋体" w:cs="宋体"/>
          <w:sz w:val="24"/>
          <w:szCs w:val="24"/>
          <w:highlight w:val="none"/>
        </w:rPr>
        <w:t>编号：</w:t>
      </w:r>
    </w:p>
    <w:p>
      <w:pPr>
        <w:ind w:firstLine="5088" w:firstLineChars="2400"/>
        <w:rPr>
          <w:rFonts w:hint="eastAsia" w:ascii="宋体" w:hAnsi="宋体" w:eastAsia="宋体" w:cs="宋体"/>
          <w:sz w:val="21"/>
          <w:szCs w:val="21"/>
          <w:highlight w:val="none"/>
        </w:rPr>
      </w:pP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正信伟业工程咨询管理有限公司</w:t>
      </w:r>
      <w:r>
        <w:rPr>
          <w:rFonts w:hint="eastAsia" w:ascii="宋体" w:hAnsi="宋体" w:eastAsia="宋体" w:cs="宋体"/>
          <w:sz w:val="24"/>
          <w:szCs w:val="24"/>
          <w:highlight w:val="none"/>
        </w:rPr>
        <w:t>：</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鉴于（以下简称供应商）已于年月日签订编号为的</w:t>
      </w:r>
      <w:r>
        <w:rPr>
          <w:rFonts w:hint="eastAsia" w:ascii="宋体" w:hAnsi="宋体" w:eastAsia="宋体" w:cs="宋体"/>
          <w:sz w:val="24"/>
          <w:szCs w:val="24"/>
          <w:highlight w:val="none"/>
          <w:u w:val="single"/>
        </w:rPr>
        <w:t>《            采购合同》</w:t>
      </w:r>
      <w:r>
        <w:rPr>
          <w:rFonts w:hint="eastAsia" w:ascii="宋体" w:hAnsi="宋体" w:eastAsia="宋体" w:cs="宋体"/>
          <w:sz w:val="24"/>
          <w:szCs w:val="24"/>
          <w:highlight w:val="none"/>
        </w:rPr>
        <w:t>（以下简称主合同），且依据该合同的约定，供应商应在年月日前向你方交纳履约保证金，且可以履约担保函的形式交纳履约保证金。应供应商的申请，我方以保证的方式向你方提供如下履约保证金担保：</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一、保证责任的情形及保证金额</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（一）在供应商出现下列情形之一时，我方承担保证责任：</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1、将</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项目转让给他人，或者在</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文件中未说明，且未经代理机构同意，将</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项目分包给他人的。</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2、主合同约定的应当缴纳履约保证金的情形：</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（1）未按主合同约定的质量、数量和期限供应货物或完成工程的；</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（二）我方的保证范围是主合同约定的合同价款总额的% ，数额为元（大写），币种为。即主合同履约保证金金额。</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二、保证的方式及保证期</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我方保证的方式为：连带责任保证。</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我方保证的期间为：自本保函生效之日起至供应商按照主合同约定的供货／完工期限届满后日内。</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如果供应商未按主合同约定向贵方供应货物／提供服务／完成工程的，由我方在保证金额内向你方支付上述款项。</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三、承担保证责任的程序</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1、你方要求我方承担保证责任的，应在本保函保证期间内向我方发出书面索赔通知。索赔通知应写明要求索赔的金额，支付款项应到达的账号，并附有证明供应商违约事实的证明材料。</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如果你方与供应商因货物质量问题发生争议，你方还需同时提供部门出具的质量检测报告，或经诉讼（仲裁）程序裁决后的裁决书、调解书，本保证人即按照检测结果或裁决书、调解书决定是否承担保证责任。</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2、我方在收到你方的书面索赔通知及相关证明材料，在工作日内进行核定后按照本保函的承诺承担保证责任。</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四、保证责任的终止</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保证期间届满你方未向我方书面主张保证责任的，自保证期届满次日起，我方保证责任自动终止。保证期间届满前，主合同约定的货物／工程／服务全部验收合格的，自验收合格日期，我方保证责任自动终止。</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2、我方按照本保函向你方履行了保证责任后，我方向你方支付款项（支付款项从我方账户划出）之日起，保证责任即终止。</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3、按照法律法规的规定或出现应终止我方保证责任的其他情形的，我方在本保函项下的保证责任亦终止。</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你方同意供应商修改主合同，加重我方保证责任的，我方对加重部分不承担保证责任，但该等修改事先经我方书面同意的除外；你方同意修改主合同履行期限，我方保证期间仍依修改前的履行期限计算，但该等修改事先经我方书面同意的除外。</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五、免责条款</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1、因你方同意修改主合同致使供应商不能履行义务的，我方不承担保证责任。</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2、依照法律法规的规定或你方同意供应商的另行约定，全部或者部分免除供应商应缴纳的保证金义务的，我方亦免除相应的保证责任。</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3、因不可抗力造成供应商不能履行供货义务的，我方不承担保证责任。</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六、争议的解决</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因本保函发生的纠纷，由你我双方协商解决，协商不成的，通过诉讼程序解决，诉讼管辖地法院为法院。</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七、保函的生效</w:t>
      </w:r>
    </w:p>
    <w:p>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本保函自我方加盖公章之日起生效。</w:t>
      </w:r>
    </w:p>
    <w:p>
      <w:pPr>
        <w:ind w:firstLine="570"/>
        <w:jc w:val="right"/>
        <w:rPr>
          <w:rFonts w:hint="eastAsia" w:ascii="宋体" w:hAnsi="宋体" w:eastAsia="宋体" w:cs="宋体"/>
          <w:sz w:val="24"/>
          <w:szCs w:val="24"/>
          <w:highlight w:val="none"/>
        </w:rPr>
      </w:pPr>
    </w:p>
    <w:p>
      <w:pPr>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保证人：（公章）</w:t>
      </w:r>
    </w:p>
    <w:p>
      <w:pPr>
        <w:jc w:val="right"/>
        <w:rPr>
          <w:rFonts w:hint="eastAsia" w:ascii="宋体" w:hAnsi="宋体" w:eastAsia="宋体" w:cs="宋体"/>
          <w:sz w:val="21"/>
          <w:szCs w:val="21"/>
          <w:highlight w:val="none"/>
        </w:rPr>
      </w:pPr>
    </w:p>
    <w:p>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年   月   日</w:t>
      </w:r>
    </w:p>
    <w:p>
      <w:pPr>
        <w:snapToGrid w:val="0"/>
        <w:spacing w:line="360" w:lineRule="auto"/>
        <w:jc w:val="center"/>
        <w:rPr>
          <w:rFonts w:hint="eastAsia" w:ascii="Tahoma" w:hAnsi="Tahoma"/>
          <w:b/>
          <w:sz w:val="24"/>
          <w:lang w:val="en-US" w:eastAsia="zh-CN"/>
        </w:rPr>
      </w:pPr>
      <w:bookmarkStart w:id="61" w:name="OLE_LINK14"/>
      <w:bookmarkStart w:id="62" w:name="OLE_LINK13"/>
    </w:p>
    <w:p>
      <w:pPr>
        <w:snapToGrid w:val="0"/>
        <w:spacing w:line="360" w:lineRule="auto"/>
        <w:jc w:val="center"/>
        <w:rPr>
          <w:rFonts w:hint="eastAsia" w:ascii="Tahoma" w:hAnsi="Tahoma"/>
          <w:b/>
          <w:sz w:val="24"/>
          <w:lang w:val="en-US" w:eastAsia="zh-CN"/>
        </w:rPr>
      </w:pPr>
    </w:p>
    <w:p>
      <w:pPr>
        <w:snapToGrid w:val="0"/>
        <w:spacing w:line="360" w:lineRule="auto"/>
        <w:jc w:val="center"/>
        <w:rPr>
          <w:rFonts w:hint="eastAsia" w:ascii="Tahoma" w:hAnsi="Tahoma"/>
          <w:b/>
          <w:sz w:val="24"/>
          <w:lang w:val="en-US" w:eastAsia="zh-CN"/>
        </w:rPr>
      </w:pPr>
    </w:p>
    <w:p>
      <w:pPr>
        <w:pStyle w:val="17"/>
        <w:spacing w:line="432" w:lineRule="auto"/>
        <w:jc w:val="center"/>
        <w:rPr>
          <w:rStyle w:val="22"/>
          <w:rFonts w:hint="eastAsia" w:ascii="黑体" w:hAnsi="黑体" w:eastAsia="黑体" w:cs="黑体"/>
          <w:sz w:val="36"/>
          <w:szCs w:val="36"/>
          <w:highlight w:val="none"/>
        </w:rPr>
      </w:pPr>
      <w:r>
        <w:rPr>
          <w:rStyle w:val="22"/>
          <w:rFonts w:hint="eastAsia" w:ascii="黑体" w:hAnsi="黑体" w:eastAsia="黑体" w:cs="黑体"/>
          <w:sz w:val="36"/>
          <w:szCs w:val="36"/>
          <w:highlight w:val="none"/>
          <w:lang w:val="en-US" w:eastAsia="zh-CN"/>
        </w:rPr>
        <w:t>11</w:t>
      </w:r>
      <w:r>
        <w:rPr>
          <w:rStyle w:val="22"/>
          <w:rFonts w:hint="eastAsia" w:ascii="黑体" w:hAnsi="黑体" w:eastAsia="黑体" w:cs="黑体"/>
          <w:sz w:val="36"/>
          <w:szCs w:val="36"/>
          <w:highlight w:val="none"/>
        </w:rPr>
        <w:t>.残疾人福利性单位声明函</w:t>
      </w:r>
    </w:p>
    <w:bookmarkEnd w:id="61"/>
    <w:bookmarkEnd w:id="62"/>
    <w:p>
      <w:pPr>
        <w:spacing w:line="588" w:lineRule="exact"/>
        <w:rPr>
          <w:rFonts w:ascii="仿宋_GB2312" w:eastAsia="仿宋_GB2312"/>
          <w:b/>
          <w:spacing w:val="6"/>
          <w:sz w:val="30"/>
          <w:szCs w:val="30"/>
        </w:rPr>
      </w:pPr>
    </w:p>
    <w:p>
      <w:pPr>
        <w:widowControl/>
        <w:spacing w:before="100" w:beforeAutospacing="1" w:after="100" w:afterAutospacing="1" w:line="432" w:lineRule="auto"/>
        <w:ind w:firstLine="450"/>
        <w:jc w:val="left"/>
        <w:rPr>
          <w:rFonts w:hint="eastAsia" w:ascii="宋体"/>
          <w:color w:val="000000"/>
          <w:sz w:val="24"/>
        </w:rPr>
      </w:pPr>
      <w:r>
        <w:rPr>
          <w:rFonts w:hint="eastAsia" w:ascii="宋体"/>
          <w:color w:val="000000"/>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color w:val="000000"/>
          <w:sz w:val="24"/>
          <w:u w:val="single"/>
        </w:rPr>
        <w:t>（采购单位名称）</w:t>
      </w:r>
      <w:r>
        <w:rPr>
          <w:rFonts w:hint="eastAsia" w:ascii="宋体"/>
          <w:color w:val="000000"/>
          <w:sz w:val="24"/>
        </w:rPr>
        <w:t>单位的</w:t>
      </w:r>
      <w:r>
        <w:rPr>
          <w:rFonts w:hint="eastAsia" w:ascii="宋体"/>
          <w:color w:val="000000"/>
          <w:sz w:val="24"/>
          <w:u w:val="single"/>
        </w:rPr>
        <w:t>（采购项目名称）</w:t>
      </w:r>
      <w:r>
        <w:rPr>
          <w:rFonts w:hint="eastAsia" w:ascii="宋体"/>
          <w:color w:val="000000"/>
          <w:sz w:val="24"/>
        </w:rPr>
        <w:t>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32" w:lineRule="auto"/>
        <w:ind w:firstLine="450"/>
        <w:jc w:val="left"/>
        <w:rPr>
          <w:rFonts w:hint="eastAsia" w:ascii="宋体"/>
          <w:color w:val="000000"/>
          <w:sz w:val="24"/>
        </w:rPr>
      </w:pPr>
      <w:r>
        <w:rPr>
          <w:rFonts w:hint="eastAsia" w:ascii="宋体"/>
          <w:color w:val="000000"/>
          <w:sz w:val="24"/>
        </w:rPr>
        <w:t>本单位对上述声明的真实性负责。如有虚假，将依法承担相应责任。</w:t>
      </w:r>
    </w:p>
    <w:p>
      <w:pPr>
        <w:widowControl/>
        <w:spacing w:before="100" w:beforeAutospacing="1" w:after="100" w:afterAutospacing="1" w:line="432" w:lineRule="auto"/>
        <w:ind w:firstLine="450"/>
        <w:jc w:val="left"/>
        <w:rPr>
          <w:rFonts w:hint="eastAsia" w:ascii="宋体"/>
          <w:color w:val="000000"/>
          <w:sz w:val="24"/>
        </w:rPr>
      </w:pPr>
    </w:p>
    <w:p>
      <w:pPr>
        <w:widowControl/>
        <w:spacing w:before="100" w:beforeAutospacing="1" w:after="100" w:afterAutospacing="1" w:line="432" w:lineRule="auto"/>
        <w:ind w:firstLine="450"/>
        <w:jc w:val="left"/>
        <w:rPr>
          <w:rFonts w:hint="eastAsia" w:ascii="宋体"/>
          <w:color w:val="000000"/>
          <w:sz w:val="24"/>
        </w:rPr>
      </w:pPr>
    </w:p>
    <w:p>
      <w:pPr>
        <w:widowControl/>
        <w:spacing w:before="100" w:beforeAutospacing="1" w:after="100" w:afterAutospacing="1" w:line="432" w:lineRule="auto"/>
        <w:ind w:firstLine="484" w:firstLineChars="200"/>
        <w:jc w:val="left"/>
        <w:rPr>
          <w:rFonts w:hint="eastAsia" w:ascii="宋体"/>
          <w:color w:val="000000"/>
          <w:sz w:val="24"/>
        </w:rPr>
      </w:pPr>
      <w:r>
        <w:rPr>
          <w:rFonts w:hint="eastAsia" w:ascii="宋体"/>
          <w:color w:val="000000"/>
          <w:sz w:val="24"/>
        </w:rPr>
        <w:t>单位名称（盖章）：</w:t>
      </w:r>
    </w:p>
    <w:p>
      <w:pPr>
        <w:widowControl/>
        <w:spacing w:before="100" w:beforeAutospacing="1" w:after="100" w:afterAutospacing="1" w:line="432" w:lineRule="auto"/>
        <w:ind w:firstLine="450"/>
        <w:jc w:val="left"/>
        <w:rPr>
          <w:rFonts w:hint="eastAsia" w:ascii="宋体"/>
          <w:sz w:val="24"/>
        </w:rPr>
      </w:pPr>
      <w:r>
        <w:rPr>
          <w:rFonts w:hint="eastAsia" w:ascii="宋体"/>
          <w:color w:val="000000"/>
          <w:sz w:val="24"/>
        </w:rPr>
        <w:t>日  期：</w:t>
      </w: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wordWrap/>
        <w:jc w:val="center"/>
        <w:rPr>
          <w:rStyle w:val="22"/>
          <w:rFonts w:hint="eastAsia" w:ascii="宋体" w:hAnsi="宋体" w:eastAsia="宋体" w:cs="宋体"/>
          <w:b/>
          <w:bCs/>
          <w:sz w:val="28"/>
          <w:szCs w:val="28"/>
          <w:highlight w:val="none"/>
          <w:lang w:val="en-US" w:eastAsia="zh-CN"/>
        </w:rPr>
      </w:pPr>
    </w:p>
    <w:p>
      <w:pPr>
        <w:wordWrap/>
        <w:jc w:val="center"/>
        <w:rPr>
          <w:rStyle w:val="22"/>
          <w:rFonts w:hint="eastAsia" w:ascii="黑体" w:hAnsi="黑体" w:eastAsia="黑体" w:cs="黑体"/>
          <w:b/>
          <w:bCs/>
          <w:sz w:val="30"/>
          <w:szCs w:val="30"/>
          <w:highlight w:val="none"/>
          <w:lang w:val="en-US" w:eastAsia="zh-CN"/>
        </w:rPr>
      </w:pPr>
    </w:p>
    <w:p>
      <w:pPr>
        <w:wordWrap/>
        <w:jc w:val="center"/>
        <w:rPr>
          <w:rStyle w:val="22"/>
          <w:rFonts w:hint="eastAsia" w:ascii="黑体" w:hAnsi="黑体" w:eastAsia="黑体" w:cs="黑体"/>
          <w:b/>
          <w:bCs/>
          <w:sz w:val="30"/>
          <w:szCs w:val="30"/>
          <w:highlight w:val="none"/>
          <w:lang w:val="en-US" w:eastAsia="zh-CN"/>
        </w:rPr>
      </w:pPr>
    </w:p>
    <w:p>
      <w:pPr>
        <w:wordWrap/>
        <w:jc w:val="center"/>
        <w:rPr>
          <w:rStyle w:val="22"/>
          <w:rFonts w:hint="eastAsia" w:ascii="黑体" w:hAnsi="黑体" w:eastAsia="黑体" w:cs="黑体"/>
          <w:b/>
          <w:bCs/>
          <w:sz w:val="30"/>
          <w:szCs w:val="30"/>
          <w:highlight w:val="none"/>
          <w:lang w:val="en-US" w:eastAsia="zh-CN"/>
        </w:rPr>
      </w:pPr>
    </w:p>
    <w:p>
      <w:pPr>
        <w:wordWrap/>
        <w:jc w:val="both"/>
        <w:rPr>
          <w:rStyle w:val="22"/>
          <w:rFonts w:hint="eastAsia" w:ascii="黑体" w:hAnsi="黑体" w:eastAsia="黑体" w:cs="黑体"/>
          <w:b/>
          <w:bCs/>
          <w:sz w:val="30"/>
          <w:szCs w:val="30"/>
          <w:highlight w:val="none"/>
          <w:lang w:val="en-US" w:eastAsia="zh-CN"/>
        </w:rPr>
      </w:pPr>
    </w:p>
    <w:p>
      <w:pPr>
        <w:wordWrap/>
        <w:jc w:val="center"/>
        <w:rPr>
          <w:rFonts w:hint="eastAsia" w:ascii="黑体" w:hAnsi="黑体" w:eastAsia="黑体" w:cs="黑体"/>
          <w:b/>
          <w:bCs/>
          <w:sz w:val="30"/>
          <w:szCs w:val="30"/>
          <w:highlight w:val="none"/>
        </w:rPr>
      </w:pPr>
      <w:r>
        <w:rPr>
          <w:rStyle w:val="22"/>
          <w:rFonts w:hint="eastAsia" w:ascii="黑体" w:hAnsi="黑体" w:eastAsia="黑体" w:cs="黑体"/>
          <w:b/>
          <w:bCs/>
          <w:sz w:val="30"/>
          <w:szCs w:val="30"/>
          <w:highlight w:val="none"/>
          <w:lang w:val="en-US" w:eastAsia="zh-CN"/>
        </w:rPr>
        <w:t>12.</w:t>
      </w:r>
      <w:r>
        <w:rPr>
          <w:rStyle w:val="22"/>
          <w:rFonts w:hint="eastAsia" w:ascii="黑体" w:hAnsi="黑体" w:eastAsia="黑体" w:cs="黑体"/>
          <w:b/>
          <w:bCs/>
          <w:sz w:val="30"/>
          <w:szCs w:val="30"/>
          <w:highlight w:val="none"/>
        </w:rPr>
        <w:t>没有重大违法记录的声明</w:t>
      </w:r>
    </w:p>
    <w:p>
      <w:pPr>
        <w:wordWrap/>
        <w:jc w:val="left"/>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我方声明在参加政府采购活动前3年内在经营活动中没有重大违法记录（重大违法记录是指供应商因违法经营收到刑事处罚或者责令停产停业、吊销许可证或者执照、较大数额罚款等行政处罚。） </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名称（盖公章）：</w:t>
      </w:r>
    </w:p>
    <w:p>
      <w:pPr>
        <w:ind w:left="483" w:leftChars="228" w:firstLine="7986" w:firstLineChars="33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pPr>
        <w:ind w:left="483" w:leftChars="228" w:firstLine="7986" w:firstLineChars="3300"/>
        <w:jc w:val="left"/>
        <w:rPr>
          <w:rFonts w:hint="eastAsia" w:ascii="宋体" w:hAnsi="宋体" w:eastAsia="宋体" w:cs="宋体"/>
          <w:sz w:val="24"/>
          <w:szCs w:val="24"/>
          <w:highlight w:val="none"/>
          <w:lang w:val="en-US" w:eastAsia="zh-CN"/>
        </w:rPr>
      </w:pPr>
    </w:p>
    <w:p>
      <w:pPr>
        <w:ind w:left="483" w:leftChars="228" w:firstLine="7986" w:firstLineChars="3300"/>
        <w:jc w:val="left"/>
        <w:rPr>
          <w:rFonts w:hint="eastAsia" w:ascii="宋体" w:hAnsi="宋体" w:eastAsia="宋体" w:cs="宋体"/>
          <w:sz w:val="24"/>
          <w:szCs w:val="24"/>
          <w:highlight w:val="none"/>
          <w:lang w:val="en-US" w:eastAsia="zh-CN"/>
        </w:rPr>
      </w:pPr>
    </w:p>
    <w:p>
      <w:pPr>
        <w:ind w:left="4591" w:leftChars="2166" w:firstLine="3872" w:firstLineChars="1600"/>
        <w:jc w:val="left"/>
        <w:rPr>
          <w:rFonts w:ascii="黑体" w:hAnsi="黑体" w:eastAsia="黑体" w:cs="黑体"/>
          <w:b/>
          <w:kern w:val="44"/>
          <w:sz w:val="36"/>
          <w:szCs w:val="36"/>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日期：   年    月    日</w:t>
      </w:r>
      <w:bookmarkStart w:id="63" w:name="_Toc16205"/>
      <w:bookmarkStart w:id="64" w:name="_Toc478828309"/>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keepNext/>
        <w:keepLines/>
        <w:widowControl/>
        <w:tabs>
          <w:tab w:val="left" w:pos="720"/>
        </w:tabs>
        <w:spacing w:before="120" w:after="120" w:line="360" w:lineRule="auto"/>
        <w:jc w:val="both"/>
        <w:outlineLvl w:val="0"/>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pStyle w:val="2"/>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r>
        <w:rPr>
          <w:rFonts w:ascii="黑体" w:hAnsi="黑体" w:eastAsia="黑体" w:cs="黑体"/>
          <w:b/>
          <w:kern w:val="44"/>
          <w:sz w:val="36"/>
          <w:szCs w:val="36"/>
        </w:rPr>
        <w:t>第</w:t>
      </w:r>
      <w:r>
        <w:rPr>
          <w:rFonts w:hint="eastAsia" w:ascii="黑体" w:hAnsi="黑体" w:eastAsia="黑体" w:cs="黑体"/>
          <w:b/>
          <w:kern w:val="44"/>
          <w:sz w:val="36"/>
          <w:szCs w:val="36"/>
        </w:rPr>
        <w:t>六</w:t>
      </w:r>
      <w:r>
        <w:rPr>
          <w:rFonts w:ascii="黑体" w:hAnsi="黑体" w:eastAsia="黑体" w:cs="黑体"/>
          <w:b/>
          <w:kern w:val="44"/>
          <w:sz w:val="36"/>
          <w:szCs w:val="36"/>
        </w:rPr>
        <w:t>部分</w:t>
      </w:r>
      <w:r>
        <w:rPr>
          <w:rFonts w:hint="eastAsia" w:ascii="黑体" w:hAnsi="黑体" w:eastAsia="黑体" w:cs="黑体"/>
          <w:b/>
          <w:kern w:val="44"/>
          <w:sz w:val="36"/>
          <w:szCs w:val="36"/>
        </w:rPr>
        <w:t xml:space="preserve">  竞争性磋商最后报价书</w:t>
      </w:r>
      <w:bookmarkEnd w:id="63"/>
      <w:bookmarkEnd w:id="64"/>
    </w:p>
    <w:p>
      <w:pPr>
        <w:spacing w:line="500" w:lineRule="exact"/>
        <w:ind w:firstLine="645"/>
        <w:rPr>
          <w:rFonts w:ascii="微软雅黑" w:hAnsi="微软雅黑" w:eastAsia="微软雅黑" w:cs="微软雅黑"/>
          <w:b/>
          <w:bCs/>
          <w:sz w:val="32"/>
          <w:szCs w:val="32"/>
        </w:rPr>
      </w:pPr>
    </w:p>
    <w:p>
      <w:pPr>
        <w:spacing w:line="500" w:lineRule="exact"/>
        <w:ind w:left="2161" w:leftChars="295" w:hanging="1536" w:hangingChars="545"/>
        <w:rPr>
          <w:rFonts w:ascii="微软雅黑" w:hAnsi="微软雅黑" w:eastAsia="微软雅黑" w:cs="微软雅黑"/>
          <w:sz w:val="28"/>
          <w:szCs w:val="28"/>
        </w:rPr>
      </w:pPr>
    </w:p>
    <w:p>
      <w:pPr>
        <w:spacing w:line="500" w:lineRule="exact"/>
        <w:ind w:left="1943" w:leftChars="295" w:hanging="1318" w:hangingChars="545"/>
        <w:rPr>
          <w:rFonts w:hint="eastAsia" w:ascii="宋体" w:hAnsi="宋体" w:eastAsia="宋体" w:cs="宋体"/>
          <w:sz w:val="24"/>
          <w:szCs w:val="24"/>
        </w:rPr>
      </w:pPr>
      <w:r>
        <w:rPr>
          <w:rFonts w:hint="eastAsia" w:ascii="宋体" w:hAnsi="宋体" w:eastAsia="宋体" w:cs="宋体"/>
          <w:sz w:val="24"/>
          <w:szCs w:val="24"/>
        </w:rPr>
        <w:t>项目明称：XXXX 项目</w:t>
      </w:r>
    </w:p>
    <w:p>
      <w:pPr>
        <w:spacing w:line="500" w:lineRule="exact"/>
        <w:ind w:left="1943" w:leftChars="295" w:hanging="1318" w:hangingChars="545"/>
        <w:rPr>
          <w:rFonts w:hint="eastAsia" w:ascii="宋体" w:hAnsi="宋体" w:eastAsia="宋体" w:cs="宋体"/>
          <w:sz w:val="24"/>
          <w:szCs w:val="24"/>
        </w:rPr>
      </w:pPr>
    </w:p>
    <w:p>
      <w:pPr>
        <w:spacing w:line="500" w:lineRule="exact"/>
        <w:ind w:left="1943" w:leftChars="295" w:hanging="1318" w:hangingChars="545"/>
        <w:rPr>
          <w:rFonts w:hint="eastAsia" w:ascii="宋体" w:hAnsi="宋体" w:eastAsia="宋体" w:cs="宋体"/>
          <w:sz w:val="24"/>
          <w:szCs w:val="24"/>
        </w:rPr>
      </w:pPr>
      <w:r>
        <w:rPr>
          <w:rFonts w:hint="eastAsia" w:ascii="宋体" w:hAnsi="宋体" w:eastAsia="宋体" w:cs="宋体"/>
          <w:sz w:val="24"/>
          <w:szCs w:val="24"/>
        </w:rPr>
        <w:t>项目编号：（XXXX ）</w:t>
      </w:r>
    </w:p>
    <w:p>
      <w:pPr>
        <w:spacing w:line="500" w:lineRule="exact"/>
        <w:ind w:firstLine="425"/>
        <w:rPr>
          <w:rFonts w:hint="eastAsia" w:ascii="宋体" w:hAnsi="宋体" w:eastAsia="宋体" w:cs="宋体"/>
          <w:sz w:val="24"/>
          <w:szCs w:val="24"/>
        </w:rPr>
      </w:pPr>
    </w:p>
    <w:p>
      <w:pPr>
        <w:spacing w:line="500" w:lineRule="exact"/>
        <w:ind w:firstLine="425"/>
        <w:rPr>
          <w:rFonts w:hint="eastAsia" w:ascii="宋体" w:hAnsi="宋体" w:eastAsia="宋体" w:cs="宋体"/>
          <w:sz w:val="24"/>
          <w:szCs w:val="24"/>
        </w:rPr>
      </w:pPr>
    </w:p>
    <w:p>
      <w:pPr>
        <w:spacing w:line="500" w:lineRule="exact"/>
        <w:ind w:firstLine="425"/>
        <w:rPr>
          <w:rFonts w:hint="eastAsia" w:ascii="宋体" w:hAnsi="宋体" w:eastAsia="宋体" w:cs="宋体"/>
          <w:sz w:val="24"/>
          <w:szCs w:val="24"/>
        </w:rPr>
      </w:pPr>
    </w:p>
    <w:p>
      <w:pPr>
        <w:spacing w:line="500" w:lineRule="exact"/>
        <w:ind w:firstLine="425"/>
        <w:rPr>
          <w:rFonts w:hint="eastAsia" w:ascii="宋体" w:hAnsi="宋体" w:eastAsia="宋体" w:cs="宋体"/>
          <w:sz w:val="24"/>
          <w:szCs w:val="24"/>
        </w:rPr>
      </w:pPr>
    </w:p>
    <w:p>
      <w:pPr>
        <w:spacing w:line="500" w:lineRule="exact"/>
        <w:ind w:firstLine="3025" w:firstLineChars="1250"/>
        <w:rPr>
          <w:rFonts w:hint="eastAsia" w:ascii="宋体" w:hAnsi="宋体" w:eastAsia="宋体" w:cs="宋体"/>
          <w:sz w:val="24"/>
          <w:szCs w:val="24"/>
        </w:rPr>
      </w:pPr>
      <w:r>
        <w:rPr>
          <w:rFonts w:hint="eastAsia" w:ascii="宋体" w:hAnsi="宋体" w:eastAsia="宋体" w:cs="宋体"/>
          <w:sz w:val="24"/>
          <w:szCs w:val="24"/>
        </w:rPr>
        <w:t xml:space="preserve">供应商全称：                      </w:t>
      </w:r>
    </w:p>
    <w:p>
      <w:pPr>
        <w:spacing w:line="500" w:lineRule="exact"/>
        <w:ind w:firstLine="3025" w:firstLineChars="1250"/>
        <w:rPr>
          <w:rFonts w:hint="eastAsia" w:ascii="宋体" w:hAnsi="宋体" w:eastAsia="宋体" w:cs="宋体"/>
          <w:sz w:val="24"/>
          <w:szCs w:val="24"/>
        </w:rPr>
      </w:pPr>
    </w:p>
    <w:p>
      <w:pPr>
        <w:spacing w:line="500" w:lineRule="exact"/>
        <w:ind w:firstLine="3025" w:firstLineChars="1250"/>
        <w:rPr>
          <w:rFonts w:hint="eastAsia" w:ascii="宋体" w:hAnsi="宋体" w:eastAsia="宋体" w:cs="宋体"/>
          <w:sz w:val="24"/>
          <w:szCs w:val="24"/>
        </w:rPr>
      </w:pPr>
    </w:p>
    <w:p>
      <w:pPr>
        <w:spacing w:line="500" w:lineRule="exact"/>
        <w:ind w:firstLine="3025" w:firstLineChars="1250"/>
        <w:rPr>
          <w:rFonts w:hint="eastAsia" w:ascii="宋体" w:hAnsi="宋体" w:eastAsia="宋体" w:cs="宋体"/>
          <w:sz w:val="24"/>
          <w:szCs w:val="24"/>
        </w:rPr>
      </w:pPr>
    </w:p>
    <w:p>
      <w:pPr>
        <w:spacing w:line="500" w:lineRule="exact"/>
        <w:ind w:firstLine="3025" w:firstLineChars="1250"/>
        <w:rPr>
          <w:rFonts w:hint="eastAsia" w:ascii="宋体" w:hAnsi="宋体" w:eastAsia="宋体" w:cs="宋体"/>
          <w:sz w:val="24"/>
          <w:szCs w:val="24"/>
        </w:rPr>
      </w:pPr>
    </w:p>
    <w:p>
      <w:pPr>
        <w:spacing w:line="500" w:lineRule="exact"/>
        <w:ind w:firstLine="3025" w:firstLineChars="1250"/>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w:t>
      </w:r>
    </w:p>
    <w:p>
      <w:pPr>
        <w:spacing w:line="500" w:lineRule="exact"/>
        <w:rPr>
          <w:rFonts w:hint="eastAsia" w:ascii="宋体" w:hAnsi="宋体" w:eastAsia="宋体" w:cs="宋体"/>
          <w:sz w:val="24"/>
          <w:szCs w:val="24"/>
        </w:rPr>
      </w:pPr>
    </w:p>
    <w:p>
      <w:pPr>
        <w:spacing w:line="500" w:lineRule="exact"/>
        <w:ind w:firstLine="426"/>
        <w:jc w:val="center"/>
        <w:rPr>
          <w:rFonts w:ascii="微软雅黑" w:hAnsi="微软雅黑" w:eastAsia="微软雅黑" w:cs="微软雅黑"/>
          <w:b/>
          <w:bCs/>
          <w:kern w:val="0"/>
          <w:sz w:val="44"/>
          <w:szCs w:val="4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 年   月    日</w:t>
      </w:r>
      <w:r>
        <w:rPr>
          <w:szCs w:val="36"/>
        </w:rPr>
        <w:br w:type="page"/>
      </w:r>
      <w:r>
        <w:rPr>
          <w:rFonts w:hint="eastAsia" w:ascii="黑体" w:hAnsi="黑体" w:eastAsia="黑体"/>
          <w:b/>
          <w:bCs/>
          <w:kern w:val="0"/>
          <w:sz w:val="44"/>
          <w:szCs w:val="44"/>
        </w:rPr>
        <w:t>竞争性磋商最后报价</w:t>
      </w:r>
    </w:p>
    <w:p>
      <w:pPr>
        <w:spacing w:line="500" w:lineRule="exact"/>
        <w:ind w:firstLine="725"/>
        <w:rPr>
          <w:rFonts w:ascii="微软雅黑" w:hAnsi="微软雅黑" w:eastAsia="微软雅黑" w:cs="微软雅黑"/>
          <w:b/>
          <w:bCs/>
          <w:kern w:val="0"/>
          <w:sz w:val="24"/>
          <w:szCs w:val="24"/>
        </w:rPr>
      </w:pPr>
    </w:p>
    <w:p>
      <w:pPr>
        <w:spacing w:line="500" w:lineRule="exact"/>
        <w:ind w:firstLine="425"/>
        <w:rPr>
          <w:rFonts w:ascii="宋体" w:hAnsi="宋体" w:cs="微软雅黑"/>
          <w:kern w:val="0"/>
          <w:sz w:val="24"/>
          <w:szCs w:val="24"/>
        </w:rPr>
      </w:pPr>
      <w:r>
        <w:rPr>
          <w:rFonts w:hint="eastAsia" w:ascii="宋体" w:hAnsi="宋体" w:cs="微软雅黑"/>
          <w:kern w:val="0"/>
          <w:sz w:val="24"/>
          <w:szCs w:val="24"/>
          <w:lang w:eastAsia="zh-CN"/>
        </w:rPr>
        <w:t xml:space="preserve">正信伟业工程咨询管理有限公司 </w:t>
      </w:r>
      <w:r>
        <w:rPr>
          <w:rFonts w:hint="eastAsia" w:ascii="宋体" w:hAnsi="宋体" w:cs="微软雅黑"/>
          <w:kern w:val="0"/>
          <w:sz w:val="24"/>
          <w:szCs w:val="24"/>
        </w:rPr>
        <w:t>：</w:t>
      </w:r>
    </w:p>
    <w:p>
      <w:pPr>
        <w:spacing w:line="500" w:lineRule="exact"/>
        <w:ind w:firstLine="605" w:firstLineChars="250"/>
        <w:rPr>
          <w:rFonts w:ascii="宋体" w:hAnsi="宋体" w:cs="微软雅黑"/>
          <w:kern w:val="0"/>
          <w:sz w:val="24"/>
          <w:szCs w:val="24"/>
        </w:rPr>
      </w:pPr>
    </w:p>
    <w:p>
      <w:pPr>
        <w:spacing w:line="500" w:lineRule="exact"/>
        <w:ind w:firstLine="605" w:firstLineChars="250"/>
        <w:rPr>
          <w:rFonts w:ascii="宋体" w:hAnsi="宋体" w:cs="微软雅黑"/>
          <w:kern w:val="0"/>
          <w:sz w:val="24"/>
          <w:szCs w:val="24"/>
        </w:rPr>
      </w:pPr>
      <w:r>
        <w:rPr>
          <w:rFonts w:hint="eastAsia" w:ascii="宋体" w:hAnsi="宋体" w:cs="微软雅黑"/>
          <w:kern w:val="0"/>
          <w:sz w:val="24"/>
          <w:szCs w:val="24"/>
          <w:u w:val="single"/>
        </w:rPr>
        <w:t xml:space="preserve">                                 （供应商全称）</w:t>
      </w:r>
      <w:r>
        <w:rPr>
          <w:rFonts w:hint="eastAsia" w:ascii="宋体" w:hAnsi="宋体" w:cs="微软雅黑"/>
          <w:kern w:val="0"/>
          <w:sz w:val="24"/>
          <w:szCs w:val="24"/>
        </w:rPr>
        <w:t xml:space="preserve">授权  </w:t>
      </w:r>
      <w:r>
        <w:rPr>
          <w:rFonts w:hint="eastAsia" w:ascii="宋体" w:hAnsi="宋体" w:cs="微软雅黑"/>
          <w:kern w:val="0"/>
          <w:sz w:val="24"/>
          <w:szCs w:val="24"/>
          <w:u w:val="single"/>
        </w:rPr>
        <w:t xml:space="preserve">              （授权代表姓名）                                 （职务、职称）</w:t>
      </w:r>
      <w:r>
        <w:rPr>
          <w:rFonts w:hint="eastAsia" w:ascii="宋体" w:hAnsi="宋体" w:cs="微软雅黑"/>
          <w:kern w:val="0"/>
          <w:sz w:val="24"/>
          <w:szCs w:val="24"/>
        </w:rPr>
        <w:t>为授权代表，参加贵方组织的</w:t>
      </w:r>
      <w:r>
        <w:rPr>
          <w:rFonts w:hint="eastAsia" w:ascii="宋体" w:hAnsi="宋体" w:cs="微软雅黑"/>
          <w:kern w:val="0"/>
          <w:sz w:val="24"/>
          <w:szCs w:val="24"/>
          <w:u w:val="single"/>
        </w:rPr>
        <w:t>（XXXX 项目   包、采购编号XXXX )</w:t>
      </w:r>
      <w:r>
        <w:rPr>
          <w:rFonts w:hint="eastAsia" w:ascii="宋体" w:hAnsi="宋体" w:cs="微软雅黑"/>
          <w:kern w:val="0"/>
          <w:sz w:val="24"/>
          <w:szCs w:val="24"/>
        </w:rPr>
        <w:t>竞争性磋商的有关活动，并对该项目进行最后报价。</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1、提供最后报价书正本1份、副本2份；</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2、最后报价：</w:t>
      </w:r>
      <w:r>
        <w:rPr>
          <w:rFonts w:hint="eastAsia" w:ascii="宋体" w:hAnsi="宋体" w:cs="微软雅黑"/>
          <w:kern w:val="0"/>
          <w:sz w:val="24"/>
          <w:szCs w:val="24"/>
          <w:u w:val="single"/>
        </w:rPr>
        <w:t>（小写）               元人民币</w:t>
      </w:r>
      <w:r>
        <w:rPr>
          <w:rFonts w:hint="eastAsia" w:ascii="宋体" w:hAnsi="宋体" w:cs="微软雅黑"/>
          <w:kern w:val="0"/>
          <w:sz w:val="24"/>
          <w:szCs w:val="24"/>
        </w:rPr>
        <w:t>。</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 xml:space="preserve">             </w:t>
      </w:r>
      <w:r>
        <w:rPr>
          <w:rFonts w:hint="eastAsia" w:ascii="宋体" w:hAnsi="宋体" w:cs="微软雅黑"/>
          <w:kern w:val="0"/>
          <w:sz w:val="24"/>
          <w:szCs w:val="24"/>
          <w:u w:val="single"/>
        </w:rPr>
        <w:t>（大写）               元人民币</w:t>
      </w:r>
      <w:r>
        <w:rPr>
          <w:rFonts w:hint="eastAsia" w:ascii="宋体" w:hAnsi="宋体" w:cs="微软雅黑"/>
          <w:kern w:val="0"/>
          <w:sz w:val="24"/>
          <w:szCs w:val="24"/>
        </w:rPr>
        <w:t>。</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3、交货期：                                 。</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4、保证遵守竞争性磋商文件规定；</w:t>
      </w:r>
    </w:p>
    <w:p>
      <w:pPr>
        <w:pStyle w:val="9"/>
        <w:spacing w:line="500" w:lineRule="exact"/>
        <w:ind w:firstLine="363" w:firstLineChars="150"/>
        <w:rPr>
          <w:rFonts w:ascii="宋体" w:hAnsi="宋体" w:eastAsia="宋体" w:cs="微软雅黑"/>
          <w:sz w:val="24"/>
          <w:szCs w:val="24"/>
        </w:rPr>
      </w:pPr>
      <w:r>
        <w:rPr>
          <w:rFonts w:hint="eastAsia" w:ascii="宋体" w:hAnsi="宋体" w:eastAsia="宋体" w:cs="微软雅黑"/>
          <w:sz w:val="24"/>
          <w:szCs w:val="24"/>
        </w:rPr>
        <w:t>5、保证严格执行甲乙双方所签订的《政府合同》，并承担《政府合同》规定的责任义务；</w:t>
      </w:r>
    </w:p>
    <w:p>
      <w:pPr>
        <w:pStyle w:val="11"/>
        <w:spacing w:line="500" w:lineRule="exact"/>
        <w:ind w:left="0" w:firstLine="363" w:firstLineChars="150"/>
        <w:rPr>
          <w:rFonts w:ascii="宋体" w:hAnsi="宋体" w:eastAsia="宋体" w:cs="微软雅黑"/>
          <w:sz w:val="24"/>
          <w:szCs w:val="24"/>
        </w:rPr>
      </w:pPr>
      <w:r>
        <w:rPr>
          <w:rFonts w:hint="eastAsia" w:ascii="宋体" w:hAnsi="宋体" w:eastAsia="宋体" w:cs="微软雅黑"/>
          <w:sz w:val="24"/>
          <w:szCs w:val="24"/>
        </w:rPr>
        <w:t>6、愿意向贵方提供任何与该项活动有关的数据、情况和技术资料。</w:t>
      </w:r>
    </w:p>
    <w:p>
      <w:pPr>
        <w:spacing w:line="500" w:lineRule="exact"/>
        <w:ind w:firstLine="726" w:firstLineChars="300"/>
        <w:rPr>
          <w:rFonts w:ascii="宋体" w:hAnsi="宋体" w:cs="微软雅黑"/>
          <w:kern w:val="0"/>
          <w:sz w:val="24"/>
          <w:szCs w:val="24"/>
        </w:rPr>
      </w:pPr>
    </w:p>
    <w:p>
      <w:pPr>
        <w:spacing w:line="500" w:lineRule="exact"/>
        <w:ind w:firstLine="726" w:firstLineChars="300"/>
        <w:rPr>
          <w:rFonts w:ascii="宋体" w:hAnsi="宋体" w:cs="微软雅黑"/>
          <w:kern w:val="0"/>
          <w:sz w:val="24"/>
          <w:szCs w:val="24"/>
        </w:rPr>
      </w:pPr>
      <w:r>
        <w:rPr>
          <w:rFonts w:hint="eastAsia" w:ascii="宋体" w:hAnsi="宋体" w:cs="微软雅黑"/>
          <w:kern w:val="0"/>
          <w:sz w:val="24"/>
          <w:szCs w:val="24"/>
        </w:rPr>
        <w:t>附件1：报价明细</w:t>
      </w:r>
    </w:p>
    <w:p>
      <w:pPr>
        <w:spacing w:line="500" w:lineRule="exact"/>
        <w:ind w:firstLine="425"/>
        <w:rPr>
          <w:rFonts w:ascii="宋体" w:hAnsi="宋体" w:cs="微软雅黑"/>
          <w:kern w:val="0"/>
          <w:sz w:val="24"/>
          <w:szCs w:val="24"/>
        </w:rPr>
      </w:pPr>
    </w:p>
    <w:p>
      <w:pPr>
        <w:spacing w:line="500" w:lineRule="exact"/>
        <w:ind w:firstLine="726" w:firstLineChars="300"/>
        <w:rPr>
          <w:rFonts w:ascii="宋体" w:hAnsi="宋体" w:cs="微软雅黑"/>
          <w:kern w:val="0"/>
          <w:sz w:val="24"/>
          <w:szCs w:val="24"/>
        </w:rPr>
      </w:pPr>
      <w:r>
        <w:rPr>
          <w:rFonts w:hint="eastAsia" w:ascii="宋体" w:hAnsi="宋体" w:cs="微软雅黑"/>
          <w:kern w:val="0"/>
          <w:sz w:val="24"/>
          <w:szCs w:val="24"/>
        </w:rPr>
        <w:t>附件2：最后报价调整说明</w:t>
      </w:r>
    </w:p>
    <w:p>
      <w:pPr>
        <w:spacing w:line="500" w:lineRule="exact"/>
        <w:ind w:firstLine="423" w:firstLineChars="175"/>
        <w:rPr>
          <w:rFonts w:ascii="宋体" w:hAnsi="宋体" w:cs="微软雅黑"/>
          <w:kern w:val="0"/>
          <w:sz w:val="24"/>
          <w:szCs w:val="24"/>
        </w:rPr>
      </w:pPr>
    </w:p>
    <w:p>
      <w:pPr>
        <w:spacing w:line="500" w:lineRule="exact"/>
        <w:ind w:firstLine="423" w:firstLineChars="175"/>
        <w:rPr>
          <w:rFonts w:ascii="宋体" w:hAnsi="宋体" w:cs="微软雅黑"/>
          <w:kern w:val="0"/>
          <w:sz w:val="24"/>
          <w:szCs w:val="24"/>
        </w:rPr>
      </w:pPr>
    </w:p>
    <w:p>
      <w:pPr>
        <w:spacing w:line="500" w:lineRule="exact"/>
        <w:ind w:firstLine="2359" w:firstLineChars="975"/>
        <w:rPr>
          <w:rFonts w:ascii="宋体" w:hAnsi="宋体" w:cs="微软雅黑"/>
          <w:kern w:val="0"/>
          <w:sz w:val="24"/>
          <w:szCs w:val="24"/>
        </w:rPr>
      </w:pPr>
      <w:r>
        <w:rPr>
          <w:rFonts w:hint="eastAsia" w:ascii="宋体" w:hAnsi="宋体" w:cs="微软雅黑"/>
          <w:kern w:val="0"/>
          <w:sz w:val="24"/>
          <w:szCs w:val="24"/>
        </w:rPr>
        <w:t xml:space="preserve">法定代表人或授权代表（签字）：                   </w:t>
      </w:r>
    </w:p>
    <w:p>
      <w:pPr>
        <w:spacing w:line="500" w:lineRule="exact"/>
        <w:ind w:firstLine="2359" w:firstLineChars="975"/>
        <w:rPr>
          <w:rFonts w:ascii="宋体" w:hAnsi="宋体" w:cs="微软雅黑"/>
          <w:kern w:val="0"/>
          <w:sz w:val="24"/>
          <w:szCs w:val="24"/>
        </w:rPr>
      </w:pPr>
    </w:p>
    <w:p>
      <w:pPr>
        <w:spacing w:line="500" w:lineRule="exact"/>
        <w:ind w:firstLine="2359" w:firstLineChars="975"/>
        <w:rPr>
          <w:rFonts w:ascii="宋体" w:hAnsi="宋体" w:cs="微软雅黑"/>
          <w:kern w:val="0"/>
          <w:sz w:val="24"/>
          <w:szCs w:val="24"/>
        </w:rPr>
      </w:pPr>
    </w:p>
    <w:p>
      <w:pPr>
        <w:spacing w:line="500" w:lineRule="exact"/>
        <w:ind w:firstLine="2359" w:firstLineChars="975"/>
        <w:rPr>
          <w:rFonts w:ascii="宋体" w:hAnsi="宋体" w:cs="微软雅黑"/>
          <w:kern w:val="0"/>
          <w:szCs w:val="21"/>
        </w:rPr>
      </w:pPr>
      <w:r>
        <w:rPr>
          <w:rFonts w:hint="eastAsia" w:ascii="宋体" w:hAnsi="宋体" w:cs="微软雅黑"/>
          <w:kern w:val="0"/>
          <w:sz w:val="24"/>
          <w:szCs w:val="24"/>
        </w:rPr>
        <w:t xml:space="preserve">日    期：                 </w:t>
      </w:r>
      <w:r>
        <w:rPr>
          <w:rFonts w:hint="eastAsia" w:ascii="宋体" w:hAnsi="宋体" w:cs="微软雅黑"/>
          <w:kern w:val="0"/>
          <w:szCs w:val="21"/>
        </w:rPr>
        <w:t xml:space="preserve">                 </w:t>
      </w:r>
    </w:p>
    <w:p>
      <w:pPr>
        <w:spacing w:line="500" w:lineRule="exact"/>
        <w:ind w:firstLine="885"/>
        <w:rPr>
          <w:rFonts w:ascii="微软雅黑" w:hAnsi="微软雅黑" w:eastAsia="微软雅黑" w:cs="微软雅黑"/>
          <w:sz w:val="44"/>
          <w:szCs w:val="44"/>
        </w:rPr>
      </w:pPr>
    </w:p>
    <w:p>
      <w:pPr>
        <w:spacing w:line="500" w:lineRule="exact"/>
        <w:ind w:firstLine="565"/>
        <w:rPr>
          <w:rFonts w:ascii="微软雅黑" w:hAnsi="微软雅黑" w:eastAsia="微软雅黑" w:cs="微软雅黑"/>
          <w:sz w:val="28"/>
          <w:szCs w:val="28"/>
        </w:rPr>
      </w:pPr>
      <w:r>
        <w:rPr>
          <w:rFonts w:hint="eastAsia" w:ascii="微软雅黑" w:hAnsi="微软雅黑" w:eastAsia="微软雅黑" w:cs="微软雅黑"/>
          <w:sz w:val="28"/>
          <w:szCs w:val="28"/>
        </w:rPr>
        <w:br w:type="page"/>
      </w:r>
    </w:p>
    <w:p>
      <w:pPr>
        <w:spacing w:line="500" w:lineRule="exact"/>
        <w:jc w:val="center"/>
        <w:outlineLvl w:val="2"/>
        <w:rPr>
          <w:rFonts w:ascii="黑体" w:hAnsi="黑体" w:eastAsia="黑体"/>
          <w:b/>
          <w:bCs/>
          <w:kern w:val="0"/>
          <w:sz w:val="36"/>
          <w:szCs w:val="36"/>
        </w:rPr>
      </w:pPr>
      <w:bookmarkStart w:id="65" w:name="_Toc478828310"/>
      <w:bookmarkStart w:id="66" w:name="_Toc13051"/>
      <w:r>
        <w:rPr>
          <w:rFonts w:hint="eastAsia" w:ascii="黑体" w:hAnsi="黑体" w:eastAsia="黑体"/>
          <w:b/>
          <w:bCs/>
          <w:kern w:val="0"/>
          <w:sz w:val="36"/>
          <w:szCs w:val="36"/>
        </w:rPr>
        <w:t>最后报价明细（附件1）</w:t>
      </w:r>
      <w:bookmarkEnd w:id="65"/>
      <w:bookmarkEnd w:id="66"/>
    </w:p>
    <w:p>
      <w:pPr>
        <w:spacing w:line="500" w:lineRule="exact"/>
        <w:rPr>
          <w:rFonts w:ascii="微软雅黑" w:hAnsi="微软雅黑" w:eastAsia="微软雅黑" w:cs="微软雅黑"/>
          <w:sz w:val="28"/>
          <w:szCs w:val="28"/>
        </w:rPr>
      </w:pPr>
      <w:r>
        <w:rPr>
          <w:rFonts w:hint="eastAsia" w:ascii="微软雅黑" w:hAnsi="微软雅黑" w:eastAsia="微软雅黑" w:cs="微软雅黑"/>
          <w:sz w:val="28"/>
          <w:szCs w:val="28"/>
        </w:rPr>
        <w:br w:type="page"/>
      </w:r>
    </w:p>
    <w:p>
      <w:pPr>
        <w:spacing w:line="500" w:lineRule="exact"/>
        <w:jc w:val="center"/>
        <w:outlineLvl w:val="2"/>
        <w:rPr>
          <w:rFonts w:ascii="黑体" w:hAnsi="黑体" w:eastAsia="黑体"/>
          <w:b/>
          <w:bCs/>
          <w:kern w:val="0"/>
          <w:sz w:val="36"/>
          <w:szCs w:val="36"/>
        </w:rPr>
      </w:pPr>
      <w:bookmarkStart w:id="67" w:name="_Toc478828311"/>
      <w:bookmarkStart w:id="68" w:name="_Toc21077"/>
      <w:r>
        <w:rPr>
          <w:rFonts w:hint="eastAsia" w:ascii="黑体" w:hAnsi="黑体" w:eastAsia="黑体"/>
          <w:b/>
          <w:bCs/>
          <w:kern w:val="0"/>
          <w:sz w:val="36"/>
          <w:szCs w:val="36"/>
        </w:rPr>
        <w:t>最后报价调整说明（附件2）</w:t>
      </w:r>
      <w:bookmarkEnd w:id="67"/>
      <w:bookmarkEnd w:id="68"/>
    </w:p>
    <w:p>
      <w:pPr>
        <w:spacing w:line="500" w:lineRule="exact"/>
        <w:outlineLvl w:val="2"/>
        <w:rPr>
          <w:rFonts w:ascii="微软雅黑" w:hAnsi="微软雅黑" w:eastAsia="微软雅黑" w:cs="微软雅黑"/>
          <w:sz w:val="36"/>
          <w:szCs w:val="36"/>
        </w:rPr>
      </w:pPr>
    </w:p>
    <w:p>
      <w:pPr>
        <w:jc w:val="right"/>
        <w:rPr>
          <w:rFonts w:ascii="宋体" w:hAnsi="宋体" w:cs="宋体"/>
          <w:sz w:val="24"/>
          <w:szCs w:val="24"/>
        </w:rPr>
      </w:pPr>
    </w:p>
    <w:p>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sectPr>
      <w:footerReference r:id="rId7" w:type="first"/>
      <w:headerReference r:id="rId5" w:type="default"/>
      <w:footerReference r:id="rId6" w:type="default"/>
      <w:pgSz w:w="11907" w:h="16840"/>
      <w:pgMar w:top="1089" w:right="1797" w:bottom="935" w:left="1402" w:header="851" w:footer="992" w:gutter="0"/>
      <w:pgNumType w:fmt="decimal" w:start="1"/>
      <w:cols w:space="720" w:num="1"/>
      <w:docGrid w:type="linesAndChars" w:linePitch="312" w:charSpace="4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posOffset>2660650</wp:posOffset>
              </wp:positionH>
              <wp:positionV relativeFrom="paragraph">
                <wp:posOffset>139065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eastAsiaTheme="minorEastAsia"/>
                              <w:lang w:val="en-US" w:eastAsia="zh-CN"/>
                            </w:rPr>
                          </w:pP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5pt;margin-top:10.95pt;height:144pt;width:144pt;mso-position-horizontal-relative:margin;mso-wrap-style:none;z-index:251663360;mso-width-relative:page;mso-height-relative:page;" filled="f" stroked="f" coordsize="21600,21600" o:gfxdata="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JiFHYAAAACgEAAA8AAAAA&#10;AAAAAQAgAAAAIgAAAGRycy9kb3ducmV2LnhtbFBLAQIUABQAAAAIAIdO4kAKOyp+FAIAABUEAAAO&#10;AAAAAAAAAAEAIAAAACcBAABkcnMvZTJvRG9jLnhtbFBLBQYAAAAABgAGAFkBAACtBQAAAAA=&#10;">
              <v:fill on="f" focussize="0,0"/>
              <v:stroke on="f" weight="0.5pt"/>
              <v:imagedata o:title=""/>
              <o:lock v:ext="edit" aspectratio="f"/>
              <v:textbox inset="0mm,0mm,0mm,0mm" style="mso-fit-shape-to-text:t;">
                <w:txbxContent>
                  <w:p>
                    <w:pPr>
                      <w:pStyle w:val="13"/>
                      <w:rPr>
                        <w:rFonts w:hint="default" w:eastAsiaTheme="minorEastAsia"/>
                        <w:lang w:val="en-US" w:eastAsia="zh-CN"/>
                      </w:rPr>
                    </w:pP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 xml:space="preserve"> -</w:t>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rPr>
    </w:pPr>
    <w:r>
      <w:rPr>
        <w:rFonts w:hint="eastAsia" w:ascii="宋体" w:hAnsi="宋体" w:eastAsia="宋体" w:cs="宋体"/>
        <w:sz w:val="21"/>
        <w:szCs w:val="21"/>
      </w:rPr>
      <w:drawing>
        <wp:anchor distT="0" distB="0" distL="114300" distR="114300" simplePos="0" relativeHeight="251659264" behindDoc="1" locked="0" layoutInCell="1" allowOverlap="1">
          <wp:simplePos x="0" y="0"/>
          <wp:positionH relativeFrom="column">
            <wp:posOffset>19050</wp:posOffset>
          </wp:positionH>
          <wp:positionV relativeFrom="paragraph">
            <wp:posOffset>-100965</wp:posOffset>
          </wp:positionV>
          <wp:extent cx="716280" cy="284480"/>
          <wp:effectExtent l="0" t="0" r="0" b="0"/>
          <wp:wrapNone/>
          <wp:docPr id="11"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公司LOGO"/>
                  <pic:cNvPicPr>
                    <a:picLocks noChangeAspect="1"/>
                  </pic:cNvPicPr>
                </pic:nvPicPr>
                <pic:blipFill>
                  <a:blip r:embed="rId1"/>
                  <a:stretch>
                    <a:fillRect/>
                  </a:stretch>
                </pic:blipFill>
                <pic:spPr>
                  <a:xfrm>
                    <a:off x="0" y="0"/>
                    <a:ext cx="716280" cy="284480"/>
                  </a:xfrm>
                  <a:prstGeom prst="rect">
                    <a:avLst/>
                  </a:prstGeom>
                  <a:noFill/>
                  <a:ln>
                    <a:noFill/>
                  </a:ln>
                </pic:spPr>
              </pic:pic>
            </a:graphicData>
          </a:graphic>
        </wp:anchor>
      </w:drawing>
    </w:r>
    <w:r>
      <w:rPr>
        <w:rFonts w:hint="eastAsia" w:eastAsia="宋体"/>
        <w:szCs w:val="21"/>
        <w:lang w:eastAsia="zh-CN"/>
      </w:rPr>
      <w:t>哈尔滨工程大学PIV三维流场显示系统采购项目</w:t>
    </w:r>
    <w:r>
      <w:rPr>
        <w:rFonts w:hint="eastAsia" w:eastAsia="宋体" w:cs="宋体"/>
        <w:bCs w:val="0"/>
        <w:sz w:val="21"/>
        <w:szCs w:val="21"/>
        <w:lang w:eastAsia="zh-CN"/>
      </w:rPr>
      <w:t>磋商</w:t>
    </w:r>
    <w:r>
      <w:rPr>
        <w:rFonts w:hint="eastAsia" w:ascii="宋体" w:hAnsi="宋体" w:eastAsia="宋体" w:cs="宋体"/>
        <w:bCs w:val="0"/>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MediumGap" w:color="auto" w:sz="18" w:space="1"/>
      </w:pBdr>
      <w:jc w:val="right"/>
      <w:rPr>
        <w:rFonts w:hint="default"/>
        <w:lang w:val="en-US"/>
      </w:rPr>
    </w:pPr>
    <w:r>
      <w:rPr>
        <w:rFonts w:hint="eastAsia" w:ascii="宋体" w:hAnsi="宋体" w:eastAsia="宋体" w:cs="宋体"/>
        <w:b/>
        <w:bCs/>
        <w:color w:val="000000"/>
        <w:kern w:val="0"/>
        <w:sz w:val="21"/>
        <w:szCs w:val="21"/>
        <w:highlight w:val="none"/>
        <w:lang w:eastAsia="zh-CN"/>
      </w:rPr>
      <w:t>哈尔滨工程大学室外体育设施器材购置项目</w:t>
    </w:r>
    <w:r>
      <w:rPr>
        <w:rFonts w:hint="eastAsia" w:ascii="宋体" w:hAnsi="宋体" w:eastAsia="宋体" w:cs="宋体"/>
        <w:b/>
        <w:bCs/>
        <w:sz w:val="21"/>
        <w:szCs w:val="21"/>
      </w:rPr>
      <w:drawing>
        <wp:anchor distT="0" distB="0" distL="114300" distR="114300" simplePos="0" relativeHeight="251663360" behindDoc="1" locked="0" layoutInCell="1" allowOverlap="1">
          <wp:simplePos x="0" y="0"/>
          <wp:positionH relativeFrom="column">
            <wp:posOffset>13335</wp:posOffset>
          </wp:positionH>
          <wp:positionV relativeFrom="paragraph">
            <wp:posOffset>-77470</wp:posOffset>
          </wp:positionV>
          <wp:extent cx="716280" cy="284480"/>
          <wp:effectExtent l="0" t="0" r="7620" b="1270"/>
          <wp:wrapNone/>
          <wp:docPr id="7"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LOGO"/>
                  <pic:cNvPicPr>
                    <a:picLocks noChangeAspect="1"/>
                  </pic:cNvPicPr>
                </pic:nvPicPr>
                <pic:blipFill>
                  <a:blip r:embed="rId1"/>
                  <a:stretch>
                    <a:fillRect/>
                  </a:stretch>
                </pic:blipFill>
                <pic:spPr>
                  <a:xfrm>
                    <a:off x="0" y="0"/>
                    <a:ext cx="716280" cy="284480"/>
                  </a:xfrm>
                  <a:prstGeom prst="rect">
                    <a:avLst/>
                  </a:prstGeom>
                  <a:noFill/>
                  <a:ln>
                    <a:noFill/>
                  </a:ln>
                </pic:spPr>
              </pic:pic>
            </a:graphicData>
          </a:graphic>
        </wp:anchor>
      </w:drawing>
    </w:r>
    <w:r>
      <w:rPr>
        <w:rFonts w:hint="eastAsia" w:ascii="宋体" w:hAnsi="宋体" w:eastAsia="宋体" w:cs="宋体"/>
        <w:b/>
        <w:bCs/>
        <w:sz w:val="21"/>
        <w:szCs w:val="21"/>
        <w:lang w:eastAsia="zh-CN"/>
      </w:rPr>
      <w:t>磋商文件</w:t>
    </w:r>
    <w:r>
      <w:rPr>
        <w:rFonts w:hint="eastAsia"/>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A0893A"/>
    <w:multiLevelType w:val="singleLevel"/>
    <w:tmpl w:val="CEA0893A"/>
    <w:lvl w:ilvl="0" w:tentative="0">
      <w:start w:val="1"/>
      <w:numFmt w:val="decimal"/>
      <w:lvlText w:val="%1."/>
      <w:lvlJc w:val="left"/>
      <w:pPr>
        <w:tabs>
          <w:tab w:val="left" w:pos="312"/>
        </w:tabs>
      </w:pPr>
    </w:lvl>
  </w:abstractNum>
  <w:abstractNum w:abstractNumId="1">
    <w:nsid w:val="DAE522E3"/>
    <w:multiLevelType w:val="singleLevel"/>
    <w:tmpl w:val="DAE522E3"/>
    <w:lvl w:ilvl="0" w:tentative="0">
      <w:start w:val="1"/>
      <w:numFmt w:val="decimal"/>
      <w:suff w:val="nothing"/>
      <w:lvlText w:val="%1）"/>
      <w:lvlJc w:val="left"/>
    </w:lvl>
  </w:abstractNum>
  <w:abstractNum w:abstractNumId="2">
    <w:nsid w:val="489DE34D"/>
    <w:multiLevelType w:val="singleLevel"/>
    <w:tmpl w:val="489DE34D"/>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5A"/>
    <w:rsid w:val="00047BE5"/>
    <w:rsid w:val="000832C7"/>
    <w:rsid w:val="000C23D3"/>
    <w:rsid w:val="000F66C4"/>
    <w:rsid w:val="001662A0"/>
    <w:rsid w:val="001D480A"/>
    <w:rsid w:val="00207E30"/>
    <w:rsid w:val="002606A5"/>
    <w:rsid w:val="002775B1"/>
    <w:rsid w:val="002C28EF"/>
    <w:rsid w:val="0032289F"/>
    <w:rsid w:val="003646AC"/>
    <w:rsid w:val="0038745A"/>
    <w:rsid w:val="004139BE"/>
    <w:rsid w:val="00530519"/>
    <w:rsid w:val="00583E08"/>
    <w:rsid w:val="00586DD4"/>
    <w:rsid w:val="005E5EAE"/>
    <w:rsid w:val="00615EB6"/>
    <w:rsid w:val="00646B63"/>
    <w:rsid w:val="006B0047"/>
    <w:rsid w:val="006B3128"/>
    <w:rsid w:val="006C5C72"/>
    <w:rsid w:val="006D1C81"/>
    <w:rsid w:val="00722AB5"/>
    <w:rsid w:val="007B5148"/>
    <w:rsid w:val="007B542E"/>
    <w:rsid w:val="00821181"/>
    <w:rsid w:val="00835FFA"/>
    <w:rsid w:val="008D4008"/>
    <w:rsid w:val="008D6035"/>
    <w:rsid w:val="008D6A31"/>
    <w:rsid w:val="008E0976"/>
    <w:rsid w:val="00916441"/>
    <w:rsid w:val="00916F04"/>
    <w:rsid w:val="009C22AB"/>
    <w:rsid w:val="009C2618"/>
    <w:rsid w:val="009D329E"/>
    <w:rsid w:val="009D5C4D"/>
    <w:rsid w:val="00A07168"/>
    <w:rsid w:val="00A63CCF"/>
    <w:rsid w:val="00AD44A0"/>
    <w:rsid w:val="00B0198F"/>
    <w:rsid w:val="00B24B7B"/>
    <w:rsid w:val="00B65644"/>
    <w:rsid w:val="00B932A2"/>
    <w:rsid w:val="00BA25DE"/>
    <w:rsid w:val="00BC3311"/>
    <w:rsid w:val="00BD2825"/>
    <w:rsid w:val="00C61008"/>
    <w:rsid w:val="00C65E46"/>
    <w:rsid w:val="00C67524"/>
    <w:rsid w:val="00C81A33"/>
    <w:rsid w:val="00CB416B"/>
    <w:rsid w:val="00D1067F"/>
    <w:rsid w:val="00DA6F79"/>
    <w:rsid w:val="00DB4A3C"/>
    <w:rsid w:val="00E02215"/>
    <w:rsid w:val="00E25838"/>
    <w:rsid w:val="00E266D9"/>
    <w:rsid w:val="00F364C3"/>
    <w:rsid w:val="00FF1DD2"/>
    <w:rsid w:val="013F2829"/>
    <w:rsid w:val="01633665"/>
    <w:rsid w:val="017F5A23"/>
    <w:rsid w:val="01A37003"/>
    <w:rsid w:val="01BA694A"/>
    <w:rsid w:val="020743E8"/>
    <w:rsid w:val="02B32979"/>
    <w:rsid w:val="02CF699F"/>
    <w:rsid w:val="03196622"/>
    <w:rsid w:val="03611398"/>
    <w:rsid w:val="039C66CE"/>
    <w:rsid w:val="0445458E"/>
    <w:rsid w:val="04820814"/>
    <w:rsid w:val="04D2432D"/>
    <w:rsid w:val="04D33698"/>
    <w:rsid w:val="04E9560E"/>
    <w:rsid w:val="05343B26"/>
    <w:rsid w:val="05981513"/>
    <w:rsid w:val="05A163F2"/>
    <w:rsid w:val="06EF3759"/>
    <w:rsid w:val="07191C7F"/>
    <w:rsid w:val="07F83D5D"/>
    <w:rsid w:val="07FA2DC3"/>
    <w:rsid w:val="08533476"/>
    <w:rsid w:val="08A53D2E"/>
    <w:rsid w:val="08A87D06"/>
    <w:rsid w:val="08F250B7"/>
    <w:rsid w:val="08F7730A"/>
    <w:rsid w:val="0907309A"/>
    <w:rsid w:val="09E4726C"/>
    <w:rsid w:val="09E94BF0"/>
    <w:rsid w:val="0A5C7CD6"/>
    <w:rsid w:val="0ADA5488"/>
    <w:rsid w:val="0AF23477"/>
    <w:rsid w:val="0B7B53B6"/>
    <w:rsid w:val="0B8A242A"/>
    <w:rsid w:val="0B9C4257"/>
    <w:rsid w:val="0C28014D"/>
    <w:rsid w:val="0C640E15"/>
    <w:rsid w:val="0C706F19"/>
    <w:rsid w:val="0CBA372D"/>
    <w:rsid w:val="0CD3730A"/>
    <w:rsid w:val="0D3C4EE5"/>
    <w:rsid w:val="0D4D0822"/>
    <w:rsid w:val="0D520D96"/>
    <w:rsid w:val="0DAF23CA"/>
    <w:rsid w:val="0DDB1A9E"/>
    <w:rsid w:val="0E496A3B"/>
    <w:rsid w:val="0E8A19E7"/>
    <w:rsid w:val="0EE6237F"/>
    <w:rsid w:val="0EEA2F91"/>
    <w:rsid w:val="0F3D57A3"/>
    <w:rsid w:val="0F5633FA"/>
    <w:rsid w:val="0F6A14FA"/>
    <w:rsid w:val="0FB95500"/>
    <w:rsid w:val="0FD00649"/>
    <w:rsid w:val="0FD65E91"/>
    <w:rsid w:val="0FDA7272"/>
    <w:rsid w:val="100D2156"/>
    <w:rsid w:val="10304DE9"/>
    <w:rsid w:val="10320CB9"/>
    <w:rsid w:val="111E5B44"/>
    <w:rsid w:val="116C1DBE"/>
    <w:rsid w:val="11B81B84"/>
    <w:rsid w:val="11B92834"/>
    <w:rsid w:val="11CE503E"/>
    <w:rsid w:val="12087A3F"/>
    <w:rsid w:val="13145581"/>
    <w:rsid w:val="134E76D6"/>
    <w:rsid w:val="13924B1C"/>
    <w:rsid w:val="139446DD"/>
    <w:rsid w:val="142372AB"/>
    <w:rsid w:val="144207ED"/>
    <w:rsid w:val="149E4E20"/>
    <w:rsid w:val="14CA1D7A"/>
    <w:rsid w:val="1500725F"/>
    <w:rsid w:val="15025E8A"/>
    <w:rsid w:val="15EB2E2C"/>
    <w:rsid w:val="15F80160"/>
    <w:rsid w:val="161A79AF"/>
    <w:rsid w:val="165D5D1C"/>
    <w:rsid w:val="166D5AC6"/>
    <w:rsid w:val="16946800"/>
    <w:rsid w:val="16A04B15"/>
    <w:rsid w:val="170B4381"/>
    <w:rsid w:val="17293E28"/>
    <w:rsid w:val="176F07CA"/>
    <w:rsid w:val="17B30DB3"/>
    <w:rsid w:val="18053486"/>
    <w:rsid w:val="188E6777"/>
    <w:rsid w:val="18CE152A"/>
    <w:rsid w:val="1917143C"/>
    <w:rsid w:val="19214402"/>
    <w:rsid w:val="19970577"/>
    <w:rsid w:val="199A3E19"/>
    <w:rsid w:val="19EE6A55"/>
    <w:rsid w:val="1A01703B"/>
    <w:rsid w:val="1B1C5903"/>
    <w:rsid w:val="1B2C6694"/>
    <w:rsid w:val="1B775151"/>
    <w:rsid w:val="1BAB2AF6"/>
    <w:rsid w:val="1BD321D4"/>
    <w:rsid w:val="1C087973"/>
    <w:rsid w:val="1CA9557A"/>
    <w:rsid w:val="1D012A34"/>
    <w:rsid w:val="1D1D5B29"/>
    <w:rsid w:val="1D6C63D6"/>
    <w:rsid w:val="1D6E5243"/>
    <w:rsid w:val="1D842C9B"/>
    <w:rsid w:val="1DA7393F"/>
    <w:rsid w:val="1DDE382A"/>
    <w:rsid w:val="1DF95410"/>
    <w:rsid w:val="1E1036B4"/>
    <w:rsid w:val="1E187E67"/>
    <w:rsid w:val="1E501EA8"/>
    <w:rsid w:val="1EAE2C28"/>
    <w:rsid w:val="1F4209E6"/>
    <w:rsid w:val="1F5B422E"/>
    <w:rsid w:val="1F7A7D9C"/>
    <w:rsid w:val="1FB4350B"/>
    <w:rsid w:val="1FC53217"/>
    <w:rsid w:val="1FDE07AA"/>
    <w:rsid w:val="1FF30823"/>
    <w:rsid w:val="20907C82"/>
    <w:rsid w:val="21005729"/>
    <w:rsid w:val="219D086D"/>
    <w:rsid w:val="21A54F6C"/>
    <w:rsid w:val="21EE6971"/>
    <w:rsid w:val="220024E7"/>
    <w:rsid w:val="220C7A47"/>
    <w:rsid w:val="223528F8"/>
    <w:rsid w:val="224A5782"/>
    <w:rsid w:val="226C45D5"/>
    <w:rsid w:val="23C76B4A"/>
    <w:rsid w:val="23ED32E6"/>
    <w:rsid w:val="24497052"/>
    <w:rsid w:val="24EA0E89"/>
    <w:rsid w:val="24EE7865"/>
    <w:rsid w:val="24EF69FC"/>
    <w:rsid w:val="25387074"/>
    <w:rsid w:val="256B17E8"/>
    <w:rsid w:val="256D752A"/>
    <w:rsid w:val="25726037"/>
    <w:rsid w:val="25D51E89"/>
    <w:rsid w:val="25F328E8"/>
    <w:rsid w:val="25FB6166"/>
    <w:rsid w:val="25FD5E8A"/>
    <w:rsid w:val="260E0106"/>
    <w:rsid w:val="262D7AA5"/>
    <w:rsid w:val="269312C9"/>
    <w:rsid w:val="26C70531"/>
    <w:rsid w:val="26F009A7"/>
    <w:rsid w:val="26FD010D"/>
    <w:rsid w:val="281E0F1E"/>
    <w:rsid w:val="282B448B"/>
    <w:rsid w:val="28413858"/>
    <w:rsid w:val="293D189C"/>
    <w:rsid w:val="298C4C18"/>
    <w:rsid w:val="29D239ED"/>
    <w:rsid w:val="29FB7794"/>
    <w:rsid w:val="2A276947"/>
    <w:rsid w:val="2A6A5DDF"/>
    <w:rsid w:val="2A966C10"/>
    <w:rsid w:val="2A967031"/>
    <w:rsid w:val="2AA42F9C"/>
    <w:rsid w:val="2AB80D08"/>
    <w:rsid w:val="2BD14098"/>
    <w:rsid w:val="2C2A0420"/>
    <w:rsid w:val="2C7B667F"/>
    <w:rsid w:val="2CAE37A2"/>
    <w:rsid w:val="2CCE1DB2"/>
    <w:rsid w:val="2D5A1FE5"/>
    <w:rsid w:val="2D693E84"/>
    <w:rsid w:val="2D9C4251"/>
    <w:rsid w:val="2D9D6609"/>
    <w:rsid w:val="2DE52571"/>
    <w:rsid w:val="2DF079B9"/>
    <w:rsid w:val="2E5759E1"/>
    <w:rsid w:val="2E902201"/>
    <w:rsid w:val="2EAF4004"/>
    <w:rsid w:val="2ECA2081"/>
    <w:rsid w:val="2F4E4496"/>
    <w:rsid w:val="2F841FE7"/>
    <w:rsid w:val="2F9E16B9"/>
    <w:rsid w:val="2FB973E8"/>
    <w:rsid w:val="30237D25"/>
    <w:rsid w:val="303178B9"/>
    <w:rsid w:val="304812A5"/>
    <w:rsid w:val="31284FE6"/>
    <w:rsid w:val="317D4AC1"/>
    <w:rsid w:val="31B84A95"/>
    <w:rsid w:val="3254621E"/>
    <w:rsid w:val="32672A55"/>
    <w:rsid w:val="330608B6"/>
    <w:rsid w:val="33DB68C4"/>
    <w:rsid w:val="34665E99"/>
    <w:rsid w:val="3488773F"/>
    <w:rsid w:val="34C1048C"/>
    <w:rsid w:val="355C2A2E"/>
    <w:rsid w:val="36470121"/>
    <w:rsid w:val="36547876"/>
    <w:rsid w:val="36E02A0F"/>
    <w:rsid w:val="37397773"/>
    <w:rsid w:val="374D4F24"/>
    <w:rsid w:val="378A7FA2"/>
    <w:rsid w:val="379D4DB3"/>
    <w:rsid w:val="37D40CDE"/>
    <w:rsid w:val="381A757E"/>
    <w:rsid w:val="384774D0"/>
    <w:rsid w:val="384F2C12"/>
    <w:rsid w:val="38916240"/>
    <w:rsid w:val="39102027"/>
    <w:rsid w:val="39857A23"/>
    <w:rsid w:val="39A17B7E"/>
    <w:rsid w:val="39A75B3A"/>
    <w:rsid w:val="39F011EE"/>
    <w:rsid w:val="3A2C2AEB"/>
    <w:rsid w:val="3A7F1BC2"/>
    <w:rsid w:val="3AC0734E"/>
    <w:rsid w:val="3AD76EE6"/>
    <w:rsid w:val="3B620FCD"/>
    <w:rsid w:val="3BAA1559"/>
    <w:rsid w:val="3C3E09AD"/>
    <w:rsid w:val="3C960D3E"/>
    <w:rsid w:val="3D18191F"/>
    <w:rsid w:val="3D3F4CC1"/>
    <w:rsid w:val="3D52616A"/>
    <w:rsid w:val="3D661EB4"/>
    <w:rsid w:val="3DFC68BE"/>
    <w:rsid w:val="3E7D4E6C"/>
    <w:rsid w:val="3E876B57"/>
    <w:rsid w:val="3EA877FB"/>
    <w:rsid w:val="3F43650E"/>
    <w:rsid w:val="3F5A55EE"/>
    <w:rsid w:val="3FA11CBB"/>
    <w:rsid w:val="3FA70363"/>
    <w:rsid w:val="40170497"/>
    <w:rsid w:val="407A0109"/>
    <w:rsid w:val="40B217B0"/>
    <w:rsid w:val="40B3247B"/>
    <w:rsid w:val="40C14BAA"/>
    <w:rsid w:val="415E73E4"/>
    <w:rsid w:val="41634485"/>
    <w:rsid w:val="41700CF1"/>
    <w:rsid w:val="41A551EF"/>
    <w:rsid w:val="41FE69E4"/>
    <w:rsid w:val="421D20D2"/>
    <w:rsid w:val="42201EB7"/>
    <w:rsid w:val="425351D7"/>
    <w:rsid w:val="425A40BA"/>
    <w:rsid w:val="42944682"/>
    <w:rsid w:val="42BA6DD5"/>
    <w:rsid w:val="42C87A31"/>
    <w:rsid w:val="42E367EA"/>
    <w:rsid w:val="42F8343A"/>
    <w:rsid w:val="43040AF8"/>
    <w:rsid w:val="430E0E2A"/>
    <w:rsid w:val="43107B8C"/>
    <w:rsid w:val="43D45E7E"/>
    <w:rsid w:val="44081CE3"/>
    <w:rsid w:val="444F16DA"/>
    <w:rsid w:val="445568D0"/>
    <w:rsid w:val="44D64778"/>
    <w:rsid w:val="44DC2062"/>
    <w:rsid w:val="45663660"/>
    <w:rsid w:val="459A0FDA"/>
    <w:rsid w:val="45A01EFE"/>
    <w:rsid w:val="45C842F6"/>
    <w:rsid w:val="45FF1E30"/>
    <w:rsid w:val="464858E6"/>
    <w:rsid w:val="465015DF"/>
    <w:rsid w:val="468E5695"/>
    <w:rsid w:val="46930980"/>
    <w:rsid w:val="46DE6A47"/>
    <w:rsid w:val="46ED25DB"/>
    <w:rsid w:val="46F5449F"/>
    <w:rsid w:val="475C1665"/>
    <w:rsid w:val="47670323"/>
    <w:rsid w:val="47883850"/>
    <w:rsid w:val="47981F6D"/>
    <w:rsid w:val="48674FE0"/>
    <w:rsid w:val="488D3F83"/>
    <w:rsid w:val="488E4B85"/>
    <w:rsid w:val="48D43AF5"/>
    <w:rsid w:val="48E8578B"/>
    <w:rsid w:val="48FF5CA5"/>
    <w:rsid w:val="49164110"/>
    <w:rsid w:val="494277D6"/>
    <w:rsid w:val="498666EB"/>
    <w:rsid w:val="499D2F63"/>
    <w:rsid w:val="49B921E8"/>
    <w:rsid w:val="49CF313E"/>
    <w:rsid w:val="49DF273C"/>
    <w:rsid w:val="49EC5D1F"/>
    <w:rsid w:val="4A790AE6"/>
    <w:rsid w:val="4AE32A46"/>
    <w:rsid w:val="4B19176C"/>
    <w:rsid w:val="4B481012"/>
    <w:rsid w:val="4B6D52F0"/>
    <w:rsid w:val="4B9B76B9"/>
    <w:rsid w:val="4BA9532F"/>
    <w:rsid w:val="4BDF76CE"/>
    <w:rsid w:val="4C103449"/>
    <w:rsid w:val="4C1927DE"/>
    <w:rsid w:val="4C25494E"/>
    <w:rsid w:val="4D4B3948"/>
    <w:rsid w:val="4D632DAC"/>
    <w:rsid w:val="4DEA285C"/>
    <w:rsid w:val="4E0252FF"/>
    <w:rsid w:val="4E611B1E"/>
    <w:rsid w:val="4EAC6586"/>
    <w:rsid w:val="4EAC6901"/>
    <w:rsid w:val="4EBF1788"/>
    <w:rsid w:val="4EFC0BEA"/>
    <w:rsid w:val="4F073E47"/>
    <w:rsid w:val="4FF92C7E"/>
    <w:rsid w:val="50243ED3"/>
    <w:rsid w:val="506520D9"/>
    <w:rsid w:val="50A07570"/>
    <w:rsid w:val="50BA1BA0"/>
    <w:rsid w:val="50D44C1F"/>
    <w:rsid w:val="50EF3C7A"/>
    <w:rsid w:val="51617FB5"/>
    <w:rsid w:val="5210461F"/>
    <w:rsid w:val="523315BB"/>
    <w:rsid w:val="52B12682"/>
    <w:rsid w:val="535A1E69"/>
    <w:rsid w:val="53694FB0"/>
    <w:rsid w:val="53DF2889"/>
    <w:rsid w:val="54D71A9C"/>
    <w:rsid w:val="550173DB"/>
    <w:rsid w:val="55110331"/>
    <w:rsid w:val="553E3BA0"/>
    <w:rsid w:val="56026917"/>
    <w:rsid w:val="561827A2"/>
    <w:rsid w:val="56394C3B"/>
    <w:rsid w:val="57107769"/>
    <w:rsid w:val="57655C0D"/>
    <w:rsid w:val="57665D1B"/>
    <w:rsid w:val="5786211A"/>
    <w:rsid w:val="578F110B"/>
    <w:rsid w:val="57DD01BB"/>
    <w:rsid w:val="58184E84"/>
    <w:rsid w:val="58336974"/>
    <w:rsid w:val="58CA5FA4"/>
    <w:rsid w:val="58D95C79"/>
    <w:rsid w:val="597F3B43"/>
    <w:rsid w:val="59A66FA5"/>
    <w:rsid w:val="59B244FC"/>
    <w:rsid w:val="59C7537F"/>
    <w:rsid w:val="5A680C74"/>
    <w:rsid w:val="5AC239AC"/>
    <w:rsid w:val="5BB10E82"/>
    <w:rsid w:val="5C577976"/>
    <w:rsid w:val="5C5E0D50"/>
    <w:rsid w:val="5CEB585B"/>
    <w:rsid w:val="5CF60014"/>
    <w:rsid w:val="5D1E4238"/>
    <w:rsid w:val="5D1E7C35"/>
    <w:rsid w:val="5D804C3D"/>
    <w:rsid w:val="5D990B4B"/>
    <w:rsid w:val="5DA5741B"/>
    <w:rsid w:val="5DE3693D"/>
    <w:rsid w:val="5E145684"/>
    <w:rsid w:val="5E1759F5"/>
    <w:rsid w:val="5E715B35"/>
    <w:rsid w:val="5F863DFE"/>
    <w:rsid w:val="5FBB10EE"/>
    <w:rsid w:val="60637A3C"/>
    <w:rsid w:val="61220D3B"/>
    <w:rsid w:val="617A6E6A"/>
    <w:rsid w:val="62605676"/>
    <w:rsid w:val="62944EAA"/>
    <w:rsid w:val="633D58EA"/>
    <w:rsid w:val="63443DEA"/>
    <w:rsid w:val="637C2C25"/>
    <w:rsid w:val="638178F6"/>
    <w:rsid w:val="63822478"/>
    <w:rsid w:val="640249FC"/>
    <w:rsid w:val="644861B7"/>
    <w:rsid w:val="647922B7"/>
    <w:rsid w:val="647D2A9B"/>
    <w:rsid w:val="64955AEC"/>
    <w:rsid w:val="649E743A"/>
    <w:rsid w:val="64B00143"/>
    <w:rsid w:val="65087EBE"/>
    <w:rsid w:val="650C7D91"/>
    <w:rsid w:val="652E131F"/>
    <w:rsid w:val="659251B9"/>
    <w:rsid w:val="65CF134B"/>
    <w:rsid w:val="660F59CC"/>
    <w:rsid w:val="66AB479B"/>
    <w:rsid w:val="66AC6B5C"/>
    <w:rsid w:val="66D121DB"/>
    <w:rsid w:val="66F83AC7"/>
    <w:rsid w:val="67073103"/>
    <w:rsid w:val="67366703"/>
    <w:rsid w:val="67B66D2C"/>
    <w:rsid w:val="67D474B8"/>
    <w:rsid w:val="682D75F7"/>
    <w:rsid w:val="687E7D79"/>
    <w:rsid w:val="6882624B"/>
    <w:rsid w:val="68A6172F"/>
    <w:rsid w:val="68B60540"/>
    <w:rsid w:val="68F51430"/>
    <w:rsid w:val="693D2144"/>
    <w:rsid w:val="6983031A"/>
    <w:rsid w:val="69945A9D"/>
    <w:rsid w:val="699B1E70"/>
    <w:rsid w:val="69D9618E"/>
    <w:rsid w:val="6A9F2CEC"/>
    <w:rsid w:val="6AE13C40"/>
    <w:rsid w:val="6B1D1742"/>
    <w:rsid w:val="6B385477"/>
    <w:rsid w:val="6BCC655B"/>
    <w:rsid w:val="6C0A1F59"/>
    <w:rsid w:val="6C0B30A6"/>
    <w:rsid w:val="6C935C22"/>
    <w:rsid w:val="6CB626E0"/>
    <w:rsid w:val="6CCF09D7"/>
    <w:rsid w:val="6D097428"/>
    <w:rsid w:val="6D1A653B"/>
    <w:rsid w:val="6D340FC0"/>
    <w:rsid w:val="6D921CD5"/>
    <w:rsid w:val="6DCA4EB2"/>
    <w:rsid w:val="6DCF5C7A"/>
    <w:rsid w:val="6E2544C9"/>
    <w:rsid w:val="6E29110E"/>
    <w:rsid w:val="6EAC7C83"/>
    <w:rsid w:val="6F357A85"/>
    <w:rsid w:val="6F9E7AB4"/>
    <w:rsid w:val="70291B97"/>
    <w:rsid w:val="703125A4"/>
    <w:rsid w:val="70942356"/>
    <w:rsid w:val="70AE4211"/>
    <w:rsid w:val="70F76B09"/>
    <w:rsid w:val="711A21C6"/>
    <w:rsid w:val="71471002"/>
    <w:rsid w:val="71A027FB"/>
    <w:rsid w:val="71EF0FC9"/>
    <w:rsid w:val="71FC0D02"/>
    <w:rsid w:val="72063061"/>
    <w:rsid w:val="72A05C74"/>
    <w:rsid w:val="72A4060D"/>
    <w:rsid w:val="72E66025"/>
    <w:rsid w:val="733736D1"/>
    <w:rsid w:val="738753A0"/>
    <w:rsid w:val="73AD534C"/>
    <w:rsid w:val="73B23877"/>
    <w:rsid w:val="73FD63CD"/>
    <w:rsid w:val="740424DB"/>
    <w:rsid w:val="7428716F"/>
    <w:rsid w:val="742F4771"/>
    <w:rsid w:val="745F1DAD"/>
    <w:rsid w:val="749412EE"/>
    <w:rsid w:val="749624BA"/>
    <w:rsid w:val="75021933"/>
    <w:rsid w:val="75512303"/>
    <w:rsid w:val="757B125F"/>
    <w:rsid w:val="768A4282"/>
    <w:rsid w:val="76CF3812"/>
    <w:rsid w:val="776A1281"/>
    <w:rsid w:val="77AB0EF3"/>
    <w:rsid w:val="782A5E63"/>
    <w:rsid w:val="78DC3575"/>
    <w:rsid w:val="795858D0"/>
    <w:rsid w:val="79A30089"/>
    <w:rsid w:val="79EA18F0"/>
    <w:rsid w:val="7A535BCD"/>
    <w:rsid w:val="7A76043B"/>
    <w:rsid w:val="7AC57B27"/>
    <w:rsid w:val="7AEC177C"/>
    <w:rsid w:val="7B7501BF"/>
    <w:rsid w:val="7BA50440"/>
    <w:rsid w:val="7BE74FF2"/>
    <w:rsid w:val="7C680DB1"/>
    <w:rsid w:val="7C9D230A"/>
    <w:rsid w:val="7CC35FDE"/>
    <w:rsid w:val="7CD403DC"/>
    <w:rsid w:val="7D345AAC"/>
    <w:rsid w:val="7D374584"/>
    <w:rsid w:val="7D492687"/>
    <w:rsid w:val="7DD775E1"/>
    <w:rsid w:val="7DE9138A"/>
    <w:rsid w:val="7E162703"/>
    <w:rsid w:val="7E527E08"/>
    <w:rsid w:val="7E9B63B4"/>
    <w:rsid w:val="7EAF045C"/>
    <w:rsid w:val="7F3373BD"/>
    <w:rsid w:val="7F681F92"/>
    <w:rsid w:val="7F6F48D7"/>
    <w:rsid w:val="7F7F02F6"/>
    <w:rsid w:val="7F983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9"/>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6">
    <w:name w:val="heading 2"/>
    <w:basedOn w:val="1"/>
    <w:next w:val="1"/>
    <w:link w:val="44"/>
    <w:qFormat/>
    <w:uiPriority w:val="0"/>
    <w:pPr>
      <w:keepNext/>
      <w:keepLines/>
      <w:spacing w:before="260" w:after="260" w:line="413" w:lineRule="auto"/>
      <w:outlineLvl w:val="1"/>
    </w:pPr>
    <w:rPr>
      <w:rFonts w:ascii="Arial" w:hAnsi="Arial" w:eastAsia="黑体" w:cs="Times New Roman"/>
      <w:b/>
      <w:kern w:val="0"/>
      <w:sz w:val="32"/>
      <w:szCs w:val="20"/>
    </w:rPr>
  </w:style>
  <w:style w:type="paragraph" w:styleId="7">
    <w:name w:val="heading 3"/>
    <w:basedOn w:val="1"/>
    <w:next w:val="1"/>
    <w:link w:val="36"/>
    <w:unhideWhenUsed/>
    <w:qFormat/>
    <w:uiPriority w:val="9"/>
    <w:pPr>
      <w:keepNext/>
      <w:keepLines/>
      <w:tabs>
        <w:tab w:val="left" w:pos="720"/>
      </w:tabs>
      <w:spacing w:before="120" w:after="120" w:line="360" w:lineRule="auto"/>
      <w:jc w:val="center"/>
      <w:outlineLvl w:val="2"/>
    </w:pPr>
    <w:rPr>
      <w:rFonts w:ascii="Times New Roman" w:hAnsi="Times New Roman" w:eastAsia="黑体" w:cs="Times New Roman"/>
      <w:b/>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80"/>
      </w:tabs>
      <w:ind w:firstLine="420" w:firstLineChars="100"/>
    </w:pPr>
  </w:style>
  <w:style w:type="paragraph" w:styleId="3">
    <w:name w:val="Body Text"/>
    <w:basedOn w:val="1"/>
    <w:next w:val="4"/>
    <w:unhideWhenUsed/>
    <w:qFormat/>
    <w:uiPriority w:val="99"/>
    <w:pPr>
      <w:spacing w:after="120"/>
    </w:pPr>
  </w:style>
  <w:style w:type="paragraph" w:styleId="4">
    <w:name w:val="Date"/>
    <w:basedOn w:val="1"/>
    <w:next w:val="1"/>
    <w:qFormat/>
    <w:uiPriority w:val="0"/>
    <w:rPr>
      <w:sz w:val="24"/>
      <w:szCs w:val="20"/>
    </w:rPr>
  </w:style>
  <w:style w:type="paragraph" w:styleId="8">
    <w:name w:val="annotation text"/>
    <w:basedOn w:val="1"/>
    <w:link w:val="39"/>
    <w:unhideWhenUsed/>
    <w:qFormat/>
    <w:uiPriority w:val="99"/>
    <w:pPr>
      <w:jc w:val="left"/>
    </w:pPr>
  </w:style>
  <w:style w:type="paragraph" w:styleId="9">
    <w:name w:val="Body Text Indent"/>
    <w:basedOn w:val="1"/>
    <w:link w:val="32"/>
    <w:unhideWhenUsed/>
    <w:qFormat/>
    <w:uiPriority w:val="99"/>
    <w:pPr>
      <w:ind w:firstLine="600" w:firstLineChars="200"/>
    </w:pPr>
    <w:rPr>
      <w:rFonts w:ascii="Times New Roman" w:hAnsi="Times New Roman" w:eastAsia="楷体_GB2312" w:cs="Times New Roman"/>
      <w:sz w:val="30"/>
      <w:szCs w:val="20"/>
    </w:rPr>
  </w:style>
  <w:style w:type="paragraph" w:styleId="10">
    <w:name w:val="Plain Text"/>
    <w:basedOn w:val="1"/>
    <w:qFormat/>
    <w:uiPriority w:val="0"/>
    <w:rPr>
      <w:rFonts w:ascii="宋体" w:hAnsi="Courier New" w:eastAsia="宋体"/>
      <w:sz w:val="21"/>
      <w:szCs w:val="20"/>
    </w:rPr>
  </w:style>
  <w:style w:type="paragraph" w:styleId="11">
    <w:name w:val="Body Text Indent 2"/>
    <w:basedOn w:val="1"/>
    <w:link w:val="33"/>
    <w:unhideWhenUsed/>
    <w:qFormat/>
    <w:uiPriority w:val="99"/>
    <w:pPr>
      <w:ind w:left="600"/>
    </w:pPr>
    <w:rPr>
      <w:rFonts w:ascii="Times New Roman" w:hAnsi="Times New Roman" w:eastAsia="楷体_GB2312" w:cs="Times New Roman"/>
      <w:sz w:val="30"/>
      <w:szCs w:val="20"/>
    </w:rPr>
  </w:style>
  <w:style w:type="paragraph" w:styleId="12">
    <w:name w:val="Balloon Text"/>
    <w:basedOn w:val="1"/>
    <w:link w:val="37"/>
    <w:unhideWhenUsed/>
    <w:qFormat/>
    <w:uiPriority w:val="99"/>
    <w:rPr>
      <w:sz w:val="18"/>
      <w:szCs w:val="18"/>
    </w:rPr>
  </w:style>
  <w:style w:type="paragraph" w:styleId="13">
    <w:name w:val="footer"/>
    <w:basedOn w:val="1"/>
    <w:link w:val="35"/>
    <w:unhideWhenUsed/>
    <w:qFormat/>
    <w:uiPriority w:val="0"/>
    <w:pPr>
      <w:tabs>
        <w:tab w:val="center" w:pos="4153"/>
        <w:tab w:val="right" w:pos="8306"/>
      </w:tabs>
      <w:snapToGrid w:val="0"/>
      <w:jc w:val="left"/>
    </w:pPr>
    <w:rPr>
      <w:sz w:val="18"/>
      <w:szCs w:val="18"/>
    </w:rPr>
  </w:style>
  <w:style w:type="paragraph" w:styleId="14">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rPr>
      <w:rFonts w:ascii="Times New Roman" w:hAnsi="Times New Roman" w:eastAsia="宋体" w:cs="Times New Roman"/>
      <w:szCs w:val="20"/>
    </w:r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0"/>
    </w:rPr>
  </w:style>
  <w:style w:type="paragraph" w:styleId="18">
    <w:name w:val="annotation subject"/>
    <w:basedOn w:val="8"/>
    <w:next w:val="8"/>
    <w:link w:val="40"/>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rFonts w:ascii="Tahoma" w:hAnsi="Tahoma"/>
      <w:b/>
      <w:bCs/>
      <w:sz w:val="24"/>
      <w:szCs w:val="20"/>
    </w:rPr>
  </w:style>
  <w:style w:type="character" w:styleId="23">
    <w:name w:val="page number"/>
    <w:basedOn w:val="21"/>
    <w:unhideWhenUsed/>
    <w:qFormat/>
    <w:uiPriority w:val="99"/>
    <w:rPr>
      <w:rFonts w:ascii="Tahoma" w:hAnsi="Tahoma"/>
      <w:sz w:val="24"/>
      <w:szCs w:val="20"/>
    </w:rPr>
  </w:style>
  <w:style w:type="character" w:styleId="24">
    <w:name w:val="FollowedHyperlink"/>
    <w:basedOn w:val="21"/>
    <w:unhideWhenUsed/>
    <w:qFormat/>
    <w:uiPriority w:val="99"/>
    <w:rPr>
      <w:rFonts w:ascii="Tahoma" w:hAnsi="Tahoma"/>
      <w:color w:val="800080"/>
      <w:sz w:val="24"/>
      <w:szCs w:val="20"/>
      <w:u w:val="single"/>
    </w:rPr>
  </w:style>
  <w:style w:type="character" w:styleId="25">
    <w:name w:val="Hyperlink"/>
    <w:basedOn w:val="21"/>
    <w:unhideWhenUsed/>
    <w:qFormat/>
    <w:uiPriority w:val="99"/>
    <w:rPr>
      <w:color w:val="0000FF" w:themeColor="hyperlink"/>
      <w:u w:val="single"/>
      <w14:textFill>
        <w14:solidFill>
          <w14:schemeClr w14:val="hlink"/>
        </w14:solidFill>
      </w14:textFill>
    </w:rPr>
  </w:style>
  <w:style w:type="character" w:styleId="26">
    <w:name w:val="annotation reference"/>
    <w:basedOn w:val="21"/>
    <w:unhideWhenUsed/>
    <w:qFormat/>
    <w:uiPriority w:val="99"/>
    <w:rPr>
      <w:sz w:val="21"/>
      <w:szCs w:val="21"/>
    </w:rPr>
  </w:style>
  <w:style w:type="character" w:customStyle="1" w:styleId="27">
    <w:name w:val="页眉 Char"/>
    <w:basedOn w:val="21"/>
    <w:semiHidden/>
    <w:qFormat/>
    <w:uiPriority w:val="99"/>
    <w:rPr>
      <w:sz w:val="18"/>
      <w:szCs w:val="18"/>
    </w:rPr>
  </w:style>
  <w:style w:type="character" w:customStyle="1" w:styleId="28">
    <w:name w:val="页脚 Char"/>
    <w:basedOn w:val="21"/>
    <w:semiHidden/>
    <w:qFormat/>
    <w:uiPriority w:val="99"/>
    <w:rPr>
      <w:sz w:val="18"/>
      <w:szCs w:val="18"/>
    </w:rPr>
  </w:style>
  <w:style w:type="character" w:customStyle="1" w:styleId="29">
    <w:name w:val="标题 1 Char"/>
    <w:basedOn w:val="21"/>
    <w:link w:val="5"/>
    <w:qFormat/>
    <w:uiPriority w:val="0"/>
    <w:rPr>
      <w:rFonts w:ascii="Times New Roman" w:hAnsi="Times New Roman" w:eastAsia="宋体" w:cs="Times New Roman"/>
      <w:b/>
      <w:kern w:val="44"/>
      <w:sz w:val="44"/>
      <w:szCs w:val="20"/>
    </w:rPr>
  </w:style>
  <w:style w:type="character" w:customStyle="1" w:styleId="30">
    <w:name w:val="标题 2 Char"/>
    <w:basedOn w:val="21"/>
    <w:link w:val="6"/>
    <w:qFormat/>
    <w:uiPriority w:val="0"/>
    <w:rPr>
      <w:rFonts w:ascii="Arial" w:hAnsi="Arial" w:eastAsia="黑体" w:cs="Times New Roman"/>
      <w:b/>
      <w:kern w:val="0"/>
      <w:sz w:val="32"/>
      <w:szCs w:val="20"/>
    </w:rPr>
  </w:style>
  <w:style w:type="paragraph" w:customStyle="1" w:styleId="31">
    <w:name w:val="Char"/>
    <w:basedOn w:val="1"/>
    <w:qFormat/>
    <w:uiPriority w:val="0"/>
    <w:rPr>
      <w:rFonts w:ascii="Tahoma" w:hAnsi="Tahoma" w:eastAsia="宋体" w:cs="Times New Roman"/>
      <w:sz w:val="24"/>
      <w:szCs w:val="20"/>
    </w:rPr>
  </w:style>
  <w:style w:type="character" w:customStyle="1" w:styleId="32">
    <w:name w:val="正文文本缩进 Char"/>
    <w:basedOn w:val="21"/>
    <w:link w:val="9"/>
    <w:qFormat/>
    <w:uiPriority w:val="99"/>
    <w:rPr>
      <w:rFonts w:ascii="Times New Roman" w:hAnsi="Times New Roman" w:eastAsia="楷体_GB2312" w:cs="Times New Roman"/>
      <w:sz w:val="30"/>
      <w:szCs w:val="20"/>
    </w:rPr>
  </w:style>
  <w:style w:type="character" w:customStyle="1" w:styleId="33">
    <w:name w:val="正文文本缩进 2 Char"/>
    <w:basedOn w:val="21"/>
    <w:link w:val="11"/>
    <w:qFormat/>
    <w:uiPriority w:val="99"/>
    <w:rPr>
      <w:rFonts w:ascii="Times New Roman" w:hAnsi="Times New Roman" w:eastAsia="楷体_GB2312" w:cs="Times New Roman"/>
      <w:sz w:val="30"/>
      <w:szCs w:val="20"/>
    </w:rPr>
  </w:style>
  <w:style w:type="character" w:customStyle="1" w:styleId="34">
    <w:name w:val="页眉 Char1"/>
    <w:basedOn w:val="21"/>
    <w:link w:val="14"/>
    <w:qFormat/>
    <w:uiPriority w:val="0"/>
    <w:rPr>
      <w:rFonts w:hint="default" w:ascii="Times New Roman" w:hAnsi="Times New Roman" w:cs="Times New Roman"/>
      <w:kern w:val="2"/>
      <w:sz w:val="18"/>
      <w:szCs w:val="18"/>
    </w:rPr>
  </w:style>
  <w:style w:type="character" w:customStyle="1" w:styleId="35">
    <w:name w:val="页脚 Char1"/>
    <w:basedOn w:val="21"/>
    <w:link w:val="13"/>
    <w:qFormat/>
    <w:uiPriority w:val="0"/>
    <w:rPr>
      <w:rFonts w:hint="default" w:ascii="Times New Roman" w:hAnsi="Times New Roman" w:cs="Times New Roman"/>
      <w:kern w:val="2"/>
      <w:sz w:val="18"/>
      <w:szCs w:val="18"/>
    </w:rPr>
  </w:style>
  <w:style w:type="character" w:customStyle="1" w:styleId="36">
    <w:name w:val="标题 3 Char"/>
    <w:basedOn w:val="21"/>
    <w:link w:val="7"/>
    <w:qFormat/>
    <w:uiPriority w:val="0"/>
    <w:rPr>
      <w:rFonts w:hint="eastAsia" w:ascii="黑体" w:hAnsi="宋体" w:eastAsia="黑体" w:cs="黑体"/>
      <w:b/>
      <w:kern w:val="2"/>
      <w:sz w:val="28"/>
      <w:szCs w:val="32"/>
    </w:rPr>
  </w:style>
  <w:style w:type="character" w:customStyle="1" w:styleId="37">
    <w:name w:val="批注框文本 Char"/>
    <w:basedOn w:val="21"/>
    <w:link w:val="12"/>
    <w:semiHidden/>
    <w:qFormat/>
    <w:uiPriority w:val="99"/>
    <w:rPr>
      <w:rFonts w:asciiTheme="minorHAnsi" w:hAnsiTheme="minorHAnsi" w:eastAsiaTheme="minorEastAsia" w:cstheme="minorBidi"/>
      <w:kern w:val="2"/>
      <w:sz w:val="18"/>
      <w:szCs w:val="18"/>
    </w:rPr>
  </w:style>
  <w:style w:type="character" w:customStyle="1" w:styleId="38">
    <w:name w:val="font21"/>
    <w:qFormat/>
    <w:uiPriority w:val="0"/>
    <w:rPr>
      <w:rFonts w:hint="default" w:ascii="Times New Roman" w:hAnsi="Times New Roman" w:cs="Times New Roman"/>
      <w:color w:val="000000"/>
      <w:sz w:val="20"/>
      <w:szCs w:val="20"/>
      <w:u w:val="none"/>
    </w:rPr>
  </w:style>
  <w:style w:type="character" w:customStyle="1" w:styleId="39">
    <w:name w:val="批注文字 Char"/>
    <w:basedOn w:val="21"/>
    <w:link w:val="8"/>
    <w:qFormat/>
    <w:uiPriority w:val="99"/>
    <w:rPr>
      <w:rFonts w:asciiTheme="minorHAnsi" w:hAnsiTheme="minorHAnsi" w:eastAsiaTheme="minorEastAsia" w:cstheme="minorBidi"/>
      <w:kern w:val="2"/>
      <w:sz w:val="21"/>
      <w:szCs w:val="22"/>
    </w:rPr>
  </w:style>
  <w:style w:type="character" w:customStyle="1" w:styleId="40">
    <w:name w:val="批注主题 Char"/>
    <w:basedOn w:val="39"/>
    <w:link w:val="18"/>
    <w:semiHidden/>
    <w:qFormat/>
    <w:uiPriority w:val="99"/>
    <w:rPr>
      <w:rFonts w:asciiTheme="minorHAnsi" w:hAnsiTheme="minorHAnsi" w:eastAsiaTheme="minorEastAsia" w:cstheme="minorBidi"/>
      <w:b/>
      <w:bCs/>
      <w:kern w:val="2"/>
      <w:sz w:val="21"/>
      <w:szCs w:val="22"/>
    </w:rPr>
  </w:style>
  <w:style w:type="paragraph" w:styleId="41">
    <w:name w:val="List Paragraph"/>
    <w:basedOn w:val="1"/>
    <w:qFormat/>
    <w:uiPriority w:val="99"/>
    <w:pPr>
      <w:ind w:firstLine="420" w:firstLineChars="200"/>
    </w:pPr>
  </w:style>
  <w:style w:type="character" w:customStyle="1" w:styleId="42">
    <w:name w:val="font141"/>
    <w:qFormat/>
    <w:uiPriority w:val="0"/>
    <w:rPr>
      <w:rFonts w:hint="eastAsia" w:ascii="宋体" w:hAnsi="宋体" w:eastAsia="宋体" w:cs="宋体"/>
      <w:color w:val="000000"/>
      <w:sz w:val="22"/>
      <w:szCs w:val="22"/>
      <w:u w:val="none"/>
    </w:rPr>
  </w:style>
  <w:style w:type="paragraph" w:customStyle="1" w:styleId="43">
    <w:name w:val="样式6"/>
    <w:basedOn w:val="1"/>
    <w:qFormat/>
    <w:uiPriority w:val="0"/>
    <w:pPr>
      <w:pBdr>
        <w:bottom w:val="thickThinMediumGap" w:color="auto" w:sz="18" w:space="1"/>
      </w:pBdr>
      <w:tabs>
        <w:tab w:val="center" w:pos="4153"/>
        <w:tab w:val="right" w:pos="8306"/>
      </w:tabs>
      <w:snapToGrid w:val="0"/>
      <w:jc w:val="center"/>
    </w:pPr>
    <w:rPr>
      <w:rFonts w:ascii="宋体" w:hAnsi="宋体"/>
      <w:b/>
      <w:bCs/>
      <w:szCs w:val="21"/>
    </w:rPr>
  </w:style>
  <w:style w:type="character" w:customStyle="1" w:styleId="44">
    <w:name w:val="标题 2 字符"/>
    <w:link w:val="6"/>
    <w:qFormat/>
    <w:uiPriority w:val="0"/>
    <w:rPr>
      <w:rFonts w:ascii="Arial" w:hAnsi="Arial" w:eastAsia="黑体" w:cs="Times New Roman"/>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B8181-56A0-4FB4-865A-7EDD26EFE18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2852</Words>
  <Characters>16260</Characters>
  <Lines>135</Lines>
  <Paragraphs>38</Paragraphs>
  <TotalTime>2</TotalTime>
  <ScaleCrop>false</ScaleCrop>
  <LinksUpToDate>false</LinksUpToDate>
  <CharactersWithSpaces>19074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2017-05-23T11:14:00Z</dcterms:created>
  <dc:creator>正信伟业招标集团有限公司</dc:creator>
  <cp:lastModifiedBy>Mj</cp:lastModifiedBy>
  <cp:lastPrinted>2019-05-22T07:32:00Z</cp:lastPrinted>
  <dcterms:modified xsi:type="dcterms:W3CDTF">2020-08-12T03:58:50Z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