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91" w:rsidRPr="00CD399E" w:rsidRDefault="004030F4" w:rsidP="004030F4">
      <w:pPr>
        <w:pStyle w:val="21"/>
        <w:spacing w:before="156" w:after="156"/>
        <w:ind w:firstLineChars="200" w:firstLine="560"/>
        <w:rPr>
          <w:rFonts w:ascii="仿宋_GB2312" w:eastAsia="仿宋_GB2312" w:hAnsi="Times New Roman"/>
        </w:rPr>
      </w:pPr>
      <w:bookmarkStart w:id="0" w:name="_Toc438753469"/>
      <w:bookmarkStart w:id="1" w:name="_Toc438754309"/>
      <w:bookmarkStart w:id="2" w:name="_Toc439772340"/>
      <w:r w:rsidRPr="00CD399E">
        <w:rPr>
          <w:rFonts w:ascii="仿宋_GB2312" w:eastAsia="仿宋_GB2312" w:hint="eastAsia"/>
        </w:rPr>
        <w:t>1、</w:t>
      </w:r>
      <w:r w:rsidR="00BF2891" w:rsidRPr="00CD399E">
        <w:rPr>
          <w:rFonts w:ascii="仿宋_GB2312" w:eastAsia="仿宋_GB2312" w:hint="eastAsia"/>
        </w:rPr>
        <w:t>毕业生规模</w:t>
      </w:r>
      <w:bookmarkEnd w:id="0"/>
      <w:bookmarkEnd w:id="1"/>
      <w:bookmarkEnd w:id="2"/>
    </w:p>
    <w:p w:rsidR="001F5276" w:rsidRPr="0042278B" w:rsidRDefault="001F5276" w:rsidP="001F5276">
      <w:pPr>
        <w:ind w:firstLine="560"/>
        <w:rPr>
          <w:rFonts w:eastAsia="仿宋_GB2312"/>
          <w:lang w:val="zh-CN"/>
        </w:rPr>
      </w:pPr>
      <w:r w:rsidRPr="0042278B">
        <w:rPr>
          <w:rFonts w:eastAsia="仿宋_GB2312"/>
          <w:lang w:val="zh-CN"/>
        </w:rPr>
        <w:t>2017</w:t>
      </w:r>
      <w:r w:rsidRPr="0042278B">
        <w:rPr>
          <w:rFonts w:eastAsia="仿宋_GB2312"/>
          <w:lang w:val="zh-CN"/>
        </w:rPr>
        <w:t>届博士、硕士、本科毕业生共计</w:t>
      </w:r>
      <w:r w:rsidRPr="0042278B">
        <w:rPr>
          <w:rFonts w:eastAsia="仿宋_GB2312"/>
          <w:lang w:val="zh-CN"/>
        </w:rPr>
        <w:t>5812</w:t>
      </w:r>
      <w:r w:rsidRPr="0042278B">
        <w:rPr>
          <w:rFonts w:eastAsia="仿宋_GB2312"/>
          <w:lang w:val="zh-CN"/>
        </w:rPr>
        <w:t>人。</w:t>
      </w:r>
    </w:p>
    <w:p w:rsidR="004030F4" w:rsidRPr="00CD399E" w:rsidRDefault="004030F4" w:rsidP="004030F4">
      <w:pPr>
        <w:pStyle w:val="21"/>
        <w:spacing w:before="156" w:after="156"/>
        <w:ind w:firstLine="560"/>
        <w:rPr>
          <w:rFonts w:ascii="仿宋_GB2312" w:eastAsia="仿宋_GB2312"/>
        </w:rPr>
      </w:pPr>
      <w:r w:rsidRPr="00CD399E">
        <w:rPr>
          <w:rFonts w:ascii="仿宋_GB2312" w:eastAsia="仿宋_GB2312" w:hint="eastAsia"/>
        </w:rPr>
        <w:t>2、毕业生结构</w:t>
      </w:r>
    </w:p>
    <w:p w:rsidR="001F5276" w:rsidRPr="0042278B" w:rsidRDefault="001F5276" w:rsidP="001F5276">
      <w:pPr>
        <w:ind w:firstLine="560"/>
        <w:rPr>
          <w:rFonts w:eastAsia="仿宋_GB2312"/>
          <w:lang w:val="zh-CN"/>
        </w:rPr>
      </w:pPr>
      <w:r w:rsidRPr="0042278B">
        <w:rPr>
          <w:rFonts w:eastAsia="仿宋_GB2312"/>
          <w:lang w:val="zh-CN"/>
        </w:rPr>
        <w:t>2017</w:t>
      </w:r>
      <w:r w:rsidRPr="0042278B">
        <w:rPr>
          <w:rFonts w:eastAsia="仿宋_GB2312"/>
          <w:lang w:val="zh-CN"/>
        </w:rPr>
        <w:t>届博士毕业生</w:t>
      </w:r>
      <w:r w:rsidRPr="0042278B">
        <w:rPr>
          <w:rFonts w:eastAsia="仿宋_GB2312"/>
          <w:lang w:val="zh-CN"/>
        </w:rPr>
        <w:t>225</w:t>
      </w:r>
      <w:r w:rsidRPr="0042278B">
        <w:rPr>
          <w:rFonts w:eastAsia="仿宋_GB2312"/>
          <w:lang w:val="zh-CN"/>
        </w:rPr>
        <w:t>人，硕士毕业生</w:t>
      </w:r>
      <w:r w:rsidRPr="0042278B">
        <w:rPr>
          <w:rFonts w:eastAsia="仿宋_GB2312"/>
          <w:lang w:val="zh-CN"/>
        </w:rPr>
        <w:t>2041</w:t>
      </w:r>
      <w:r w:rsidRPr="0042278B">
        <w:rPr>
          <w:rFonts w:eastAsia="仿宋_GB2312"/>
          <w:lang w:val="zh-CN"/>
        </w:rPr>
        <w:t>人，本科毕业生</w:t>
      </w:r>
      <w:r w:rsidRPr="0042278B">
        <w:rPr>
          <w:rFonts w:eastAsia="仿宋_GB2312"/>
          <w:lang w:val="zh-CN"/>
        </w:rPr>
        <w:t>3546</w:t>
      </w:r>
      <w:r w:rsidRPr="0042278B">
        <w:rPr>
          <w:rFonts w:eastAsia="仿宋_GB2312"/>
          <w:lang w:val="zh-CN"/>
        </w:rPr>
        <w:t>人。</w:t>
      </w:r>
    </w:p>
    <w:p w:rsidR="00BF2891" w:rsidRPr="00CD399E" w:rsidRDefault="004030F4" w:rsidP="00BF2891">
      <w:pPr>
        <w:pStyle w:val="41"/>
        <w:ind w:firstLine="560"/>
        <w:rPr>
          <w:rFonts w:ascii="仿宋_GB2312" w:eastAsia="仿宋_GB2312" w:hAnsi="Times New Roman"/>
        </w:rPr>
      </w:pPr>
      <w:r w:rsidRPr="00CD399E">
        <w:rPr>
          <w:rFonts w:ascii="仿宋_GB2312" w:eastAsia="仿宋_GB2312" w:hAnsi="Times New Roman" w:hint="eastAsia"/>
        </w:rPr>
        <w:t>3、</w:t>
      </w:r>
      <w:r w:rsidR="00E36CF6" w:rsidRPr="00CD399E">
        <w:rPr>
          <w:rFonts w:ascii="仿宋_GB2312" w:eastAsia="仿宋_GB2312" w:hAnsi="Times New Roman" w:hint="eastAsia"/>
        </w:rPr>
        <w:t>就业率</w:t>
      </w:r>
    </w:p>
    <w:p w:rsidR="00E36CF6" w:rsidRPr="00CD399E" w:rsidRDefault="001F5276" w:rsidP="00E36CF6">
      <w:pPr>
        <w:pStyle w:val="41"/>
        <w:ind w:firstLine="560"/>
        <w:rPr>
          <w:rFonts w:ascii="仿宋_GB2312" w:eastAsia="仿宋_GB2312" w:hAnsi="Times New Roman"/>
        </w:rPr>
      </w:pPr>
      <w:r w:rsidRPr="0042278B">
        <w:rPr>
          <w:rFonts w:eastAsia="仿宋_GB2312"/>
        </w:rPr>
        <w:t>2017</w:t>
      </w:r>
      <w:r w:rsidRPr="0042278B">
        <w:rPr>
          <w:rFonts w:eastAsia="仿宋_GB2312"/>
        </w:rPr>
        <w:t>届毕业生共计</w:t>
      </w:r>
      <w:r w:rsidRPr="0042278B">
        <w:rPr>
          <w:rFonts w:eastAsia="仿宋_GB2312"/>
        </w:rPr>
        <w:t>5812</w:t>
      </w:r>
      <w:r w:rsidRPr="0042278B">
        <w:rPr>
          <w:rFonts w:eastAsia="仿宋_GB2312"/>
        </w:rPr>
        <w:t>人，总体就业率为</w:t>
      </w:r>
      <w:r w:rsidRPr="0042278B">
        <w:rPr>
          <w:rFonts w:eastAsia="仿宋_GB2312"/>
        </w:rPr>
        <w:t>95.30%</w:t>
      </w:r>
      <w:r w:rsidRPr="0042278B">
        <w:rPr>
          <w:rFonts w:eastAsia="仿宋_GB2312"/>
        </w:rPr>
        <w:t>。其中博士毕业生</w:t>
      </w:r>
      <w:r w:rsidRPr="0042278B">
        <w:rPr>
          <w:rFonts w:eastAsia="仿宋_GB2312"/>
        </w:rPr>
        <w:t>225</w:t>
      </w:r>
      <w:r w:rsidRPr="0042278B">
        <w:rPr>
          <w:rFonts w:eastAsia="仿宋_GB2312"/>
        </w:rPr>
        <w:t>人，就业率为</w:t>
      </w:r>
      <w:r w:rsidRPr="0042278B">
        <w:rPr>
          <w:rFonts w:eastAsia="仿宋_GB2312"/>
        </w:rPr>
        <w:t>94.22%</w:t>
      </w:r>
      <w:r w:rsidRPr="0042278B">
        <w:rPr>
          <w:rFonts w:eastAsia="仿宋_GB2312"/>
        </w:rPr>
        <w:t>，硕士毕业生</w:t>
      </w:r>
      <w:r w:rsidRPr="0042278B">
        <w:rPr>
          <w:rFonts w:eastAsia="仿宋_GB2312"/>
        </w:rPr>
        <w:t>2041</w:t>
      </w:r>
      <w:r w:rsidRPr="0042278B">
        <w:rPr>
          <w:rFonts w:eastAsia="仿宋_GB2312"/>
        </w:rPr>
        <w:t>人，就业率为</w:t>
      </w:r>
      <w:r w:rsidRPr="0042278B">
        <w:rPr>
          <w:rFonts w:eastAsia="仿宋_GB2312"/>
        </w:rPr>
        <w:t>96.03%</w:t>
      </w:r>
      <w:r w:rsidRPr="0042278B">
        <w:rPr>
          <w:rFonts w:eastAsia="仿宋_GB2312"/>
        </w:rPr>
        <w:t>，毕业研究生合计</w:t>
      </w:r>
      <w:r w:rsidRPr="0042278B">
        <w:rPr>
          <w:rFonts w:eastAsia="仿宋_GB2312"/>
        </w:rPr>
        <w:t>2266</w:t>
      </w:r>
      <w:r w:rsidRPr="0042278B">
        <w:rPr>
          <w:rFonts w:eastAsia="仿宋_GB2312"/>
        </w:rPr>
        <w:t>人，研究生就业率为</w:t>
      </w:r>
      <w:r w:rsidRPr="0042278B">
        <w:rPr>
          <w:rFonts w:eastAsia="仿宋_GB2312"/>
        </w:rPr>
        <w:t>95.85%</w:t>
      </w:r>
      <w:r w:rsidRPr="0042278B">
        <w:rPr>
          <w:rFonts w:eastAsia="仿宋_GB2312"/>
        </w:rPr>
        <w:t>；本科毕业生</w:t>
      </w:r>
      <w:r w:rsidRPr="0042278B">
        <w:rPr>
          <w:rFonts w:eastAsia="仿宋_GB2312"/>
        </w:rPr>
        <w:t>3546</w:t>
      </w:r>
      <w:r w:rsidRPr="0042278B">
        <w:rPr>
          <w:rFonts w:eastAsia="仿宋_GB2312"/>
        </w:rPr>
        <w:t>人，就业率为</w:t>
      </w:r>
      <w:r w:rsidRPr="0042278B">
        <w:rPr>
          <w:rFonts w:eastAsia="仿宋_GB2312"/>
        </w:rPr>
        <w:t>94.95%</w:t>
      </w:r>
      <w:r w:rsidRPr="0042278B">
        <w:rPr>
          <w:rFonts w:eastAsia="仿宋_GB2312"/>
        </w:rPr>
        <w:t>，</w:t>
      </w:r>
      <w:r w:rsidR="00E36CF6" w:rsidRPr="00CD399E">
        <w:rPr>
          <w:rFonts w:ascii="仿宋_GB2312" w:eastAsia="仿宋_GB2312" w:hAnsi="Times New Roman" w:hint="eastAsia"/>
        </w:rPr>
        <w:t>4、按学历毕业去向</w:t>
      </w:r>
    </w:p>
    <w:p w:rsidR="00BF2891" w:rsidRDefault="00BF2891" w:rsidP="00BF2891">
      <w:pPr>
        <w:pStyle w:val="51"/>
        <w:rPr>
          <w:rFonts w:ascii="仿宋_GB2312" w:eastAsia="仿宋_GB2312" w:hint="eastAsia"/>
        </w:rPr>
      </w:pPr>
      <w:r w:rsidRPr="00CD399E">
        <w:rPr>
          <w:rFonts w:ascii="仿宋_GB2312" w:eastAsia="仿宋_GB2312" w:hint="eastAsia"/>
        </w:rPr>
        <w:t>按学历毕业去向情况</w:t>
      </w:r>
    </w:p>
    <w:tbl>
      <w:tblPr>
        <w:tblStyle w:val="-2"/>
        <w:tblW w:w="5101" w:type="pct"/>
        <w:tblBorders>
          <w:top w:val="single" w:sz="8" w:space="0" w:color="F6C3A0"/>
          <w:bottom w:val="single" w:sz="8" w:space="0" w:color="F6C3A0"/>
          <w:insideH w:val="single" w:sz="8" w:space="0" w:color="F6C3A0"/>
        </w:tblBorders>
        <w:tblLayout w:type="fixed"/>
        <w:tblLook w:val="04A0"/>
      </w:tblPr>
      <w:tblGrid>
        <w:gridCol w:w="2044"/>
        <w:gridCol w:w="696"/>
        <w:gridCol w:w="970"/>
        <w:gridCol w:w="692"/>
        <w:gridCol w:w="969"/>
        <w:gridCol w:w="692"/>
        <w:gridCol w:w="970"/>
        <w:gridCol w:w="692"/>
        <w:gridCol w:w="969"/>
      </w:tblGrid>
      <w:tr w:rsidR="000C273F" w:rsidRPr="0042278B" w:rsidTr="00A46BC6">
        <w:trPr>
          <w:cnfStyle w:val="100000000000"/>
          <w:trHeight w:val="270"/>
        </w:trPr>
        <w:tc>
          <w:tcPr>
            <w:cnfStyle w:val="001000000000"/>
            <w:tcW w:w="117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rPr>
                <w:rFonts w:eastAsia="仿宋_GB2312"/>
                <w:bCs w:val="0"/>
                <w:color w:val="000000"/>
                <w:sz w:val="21"/>
              </w:rPr>
            </w:pPr>
            <w:r w:rsidRPr="0042278B">
              <w:rPr>
                <w:rFonts w:eastAsia="仿宋_GB2312"/>
                <w:bCs w:val="0"/>
                <w:color w:val="000000"/>
                <w:sz w:val="21"/>
              </w:rPr>
              <w:t>毕业去向</w:t>
            </w:r>
          </w:p>
        </w:tc>
        <w:tc>
          <w:tcPr>
            <w:tcW w:w="95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100000000000"/>
              <w:rPr>
                <w:rFonts w:eastAsia="仿宋_GB2312"/>
                <w:bCs w:val="0"/>
                <w:color w:val="000000"/>
                <w:sz w:val="21"/>
              </w:rPr>
            </w:pPr>
            <w:r w:rsidRPr="0042278B">
              <w:rPr>
                <w:rFonts w:eastAsia="仿宋_GB2312"/>
                <w:bCs w:val="0"/>
                <w:color w:val="000000"/>
                <w:sz w:val="21"/>
              </w:rPr>
              <w:t>博士生毕业</w:t>
            </w:r>
          </w:p>
        </w:tc>
        <w:tc>
          <w:tcPr>
            <w:tcW w:w="95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100000000000"/>
              <w:rPr>
                <w:rFonts w:eastAsia="仿宋_GB2312"/>
                <w:bCs w:val="0"/>
                <w:color w:val="000000"/>
                <w:sz w:val="21"/>
              </w:rPr>
            </w:pPr>
            <w:r w:rsidRPr="0042278B">
              <w:rPr>
                <w:rFonts w:eastAsia="仿宋_GB2312"/>
                <w:bCs w:val="0"/>
                <w:color w:val="000000"/>
                <w:sz w:val="21"/>
              </w:rPr>
              <w:t>硕士生毕业</w:t>
            </w:r>
          </w:p>
        </w:tc>
        <w:tc>
          <w:tcPr>
            <w:tcW w:w="95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100000000000"/>
              <w:rPr>
                <w:rFonts w:eastAsia="仿宋_GB2312"/>
                <w:bCs w:val="0"/>
                <w:color w:val="000000"/>
                <w:sz w:val="21"/>
              </w:rPr>
            </w:pPr>
            <w:r w:rsidRPr="0042278B">
              <w:rPr>
                <w:rFonts w:eastAsia="仿宋_GB2312"/>
                <w:bCs w:val="0"/>
                <w:color w:val="000000"/>
                <w:sz w:val="21"/>
              </w:rPr>
              <w:t>本科生毕业</w:t>
            </w:r>
          </w:p>
        </w:tc>
        <w:tc>
          <w:tcPr>
            <w:tcW w:w="95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100000000000"/>
              <w:rPr>
                <w:rFonts w:eastAsia="仿宋_GB2312"/>
                <w:bCs w:val="0"/>
                <w:color w:val="000000"/>
                <w:sz w:val="21"/>
              </w:rPr>
            </w:pPr>
            <w:r w:rsidRPr="0042278B">
              <w:rPr>
                <w:rFonts w:eastAsia="仿宋_GB2312"/>
                <w:bCs w:val="0"/>
                <w:color w:val="000000"/>
                <w:sz w:val="21"/>
              </w:rPr>
              <w:t>总计</w:t>
            </w:r>
          </w:p>
        </w:tc>
      </w:tr>
      <w:tr w:rsidR="000C273F" w:rsidRPr="0042278B" w:rsidTr="00A46BC6">
        <w:trPr>
          <w:cnfStyle w:val="000000100000"/>
          <w:trHeight w:val="270"/>
        </w:trPr>
        <w:tc>
          <w:tcPr>
            <w:cnfStyle w:val="001000000000"/>
            <w:tcW w:w="1175" w:type="pct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rPr>
                <w:rFonts w:eastAsia="仿宋_GB2312"/>
                <w:bCs w:val="0"/>
                <w:color w:val="000000"/>
                <w:sz w:val="21"/>
              </w:rPr>
            </w:pPr>
          </w:p>
        </w:tc>
        <w:tc>
          <w:tcPr>
            <w:tcW w:w="40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bCs/>
                <w:color w:val="000000"/>
                <w:sz w:val="21"/>
              </w:rPr>
            </w:pPr>
            <w:r w:rsidRPr="0042278B">
              <w:rPr>
                <w:rFonts w:eastAsia="仿宋_GB2312"/>
                <w:bCs/>
                <w:color w:val="000000"/>
                <w:sz w:val="21"/>
              </w:rPr>
              <w:t>人数</w:t>
            </w:r>
          </w:p>
        </w:tc>
        <w:tc>
          <w:tcPr>
            <w:tcW w:w="55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bCs/>
                <w:color w:val="000000"/>
                <w:sz w:val="21"/>
              </w:rPr>
            </w:pPr>
            <w:r w:rsidRPr="0042278B">
              <w:rPr>
                <w:rFonts w:eastAsia="仿宋_GB2312"/>
                <w:bCs/>
                <w:color w:val="000000"/>
                <w:sz w:val="21"/>
              </w:rPr>
              <w:t>比例</w:t>
            </w:r>
          </w:p>
        </w:tc>
        <w:tc>
          <w:tcPr>
            <w:tcW w:w="39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bCs/>
                <w:color w:val="000000"/>
                <w:sz w:val="21"/>
              </w:rPr>
            </w:pPr>
            <w:r w:rsidRPr="0042278B">
              <w:rPr>
                <w:rFonts w:eastAsia="仿宋_GB2312"/>
                <w:bCs/>
                <w:color w:val="000000"/>
                <w:sz w:val="21"/>
              </w:rPr>
              <w:t>人数</w:t>
            </w:r>
          </w:p>
        </w:tc>
        <w:tc>
          <w:tcPr>
            <w:tcW w:w="5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bCs/>
                <w:color w:val="000000"/>
                <w:sz w:val="21"/>
              </w:rPr>
            </w:pPr>
            <w:r w:rsidRPr="0042278B">
              <w:rPr>
                <w:rFonts w:eastAsia="仿宋_GB2312"/>
                <w:bCs/>
                <w:color w:val="000000"/>
                <w:sz w:val="21"/>
              </w:rPr>
              <w:t>比例</w:t>
            </w:r>
          </w:p>
        </w:tc>
        <w:tc>
          <w:tcPr>
            <w:tcW w:w="39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bCs/>
                <w:color w:val="000000"/>
                <w:sz w:val="21"/>
              </w:rPr>
            </w:pPr>
            <w:r w:rsidRPr="0042278B">
              <w:rPr>
                <w:rFonts w:eastAsia="仿宋_GB2312"/>
                <w:bCs/>
                <w:color w:val="000000"/>
                <w:sz w:val="21"/>
              </w:rPr>
              <w:t>人数</w:t>
            </w:r>
          </w:p>
        </w:tc>
        <w:tc>
          <w:tcPr>
            <w:tcW w:w="55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bCs/>
                <w:color w:val="000000"/>
                <w:sz w:val="21"/>
              </w:rPr>
            </w:pPr>
            <w:r w:rsidRPr="0042278B">
              <w:rPr>
                <w:rFonts w:eastAsia="仿宋_GB2312"/>
                <w:bCs/>
                <w:color w:val="000000"/>
                <w:sz w:val="21"/>
              </w:rPr>
              <w:t>比例</w:t>
            </w:r>
          </w:p>
        </w:tc>
        <w:tc>
          <w:tcPr>
            <w:tcW w:w="39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bCs/>
                <w:color w:val="000000"/>
                <w:sz w:val="21"/>
              </w:rPr>
            </w:pPr>
            <w:r w:rsidRPr="0042278B">
              <w:rPr>
                <w:rFonts w:eastAsia="仿宋_GB2312"/>
                <w:bCs/>
                <w:color w:val="000000"/>
                <w:sz w:val="21"/>
              </w:rPr>
              <w:t>人数</w:t>
            </w:r>
          </w:p>
        </w:tc>
        <w:tc>
          <w:tcPr>
            <w:tcW w:w="5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bCs/>
                <w:color w:val="000000"/>
                <w:sz w:val="21"/>
              </w:rPr>
            </w:pPr>
            <w:r w:rsidRPr="0042278B">
              <w:rPr>
                <w:rFonts w:eastAsia="仿宋_GB2312"/>
                <w:bCs/>
                <w:color w:val="000000"/>
                <w:sz w:val="21"/>
              </w:rPr>
              <w:t>比例</w:t>
            </w:r>
          </w:p>
        </w:tc>
      </w:tr>
      <w:tr w:rsidR="000C273F" w:rsidRPr="0042278B" w:rsidTr="00A46BC6">
        <w:trPr>
          <w:trHeight w:val="270"/>
        </w:trPr>
        <w:tc>
          <w:tcPr>
            <w:cnfStyle w:val="001000000000"/>
            <w:tcW w:w="1175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rPr>
                <w:rFonts w:eastAsia="仿宋_GB2312"/>
                <w:bCs w:val="0"/>
                <w:color w:val="000000"/>
                <w:w w:val="80"/>
                <w:sz w:val="21"/>
              </w:rPr>
            </w:pPr>
            <w:r w:rsidRPr="0042278B">
              <w:rPr>
                <w:rFonts w:eastAsia="仿宋_GB2312"/>
                <w:bCs w:val="0"/>
                <w:color w:val="000000"/>
                <w:w w:val="80"/>
                <w:sz w:val="21"/>
              </w:rPr>
              <w:t>签就业协议形式就业</w:t>
            </w:r>
          </w:p>
        </w:tc>
        <w:tc>
          <w:tcPr>
            <w:tcW w:w="400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193</w:t>
            </w:r>
          </w:p>
        </w:tc>
        <w:tc>
          <w:tcPr>
            <w:tcW w:w="558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85.78%</w:t>
            </w:r>
          </w:p>
        </w:tc>
        <w:tc>
          <w:tcPr>
            <w:tcW w:w="398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1700</w:t>
            </w:r>
          </w:p>
        </w:tc>
        <w:tc>
          <w:tcPr>
            <w:tcW w:w="557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83.29%</w:t>
            </w:r>
          </w:p>
        </w:tc>
        <w:tc>
          <w:tcPr>
            <w:tcW w:w="398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1286</w:t>
            </w:r>
          </w:p>
        </w:tc>
        <w:tc>
          <w:tcPr>
            <w:tcW w:w="558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36.27%</w:t>
            </w:r>
          </w:p>
        </w:tc>
        <w:tc>
          <w:tcPr>
            <w:tcW w:w="398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3179</w:t>
            </w:r>
          </w:p>
        </w:tc>
        <w:tc>
          <w:tcPr>
            <w:tcW w:w="557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54.70%</w:t>
            </w:r>
          </w:p>
        </w:tc>
      </w:tr>
      <w:tr w:rsidR="000C273F" w:rsidRPr="0042278B" w:rsidTr="00A46BC6">
        <w:trPr>
          <w:cnfStyle w:val="000000100000"/>
          <w:trHeight w:val="270"/>
        </w:trPr>
        <w:tc>
          <w:tcPr>
            <w:cnfStyle w:val="001000000000"/>
            <w:tcW w:w="117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rPr>
                <w:rFonts w:eastAsia="仿宋_GB2312"/>
                <w:bCs w:val="0"/>
                <w:color w:val="000000"/>
                <w:sz w:val="21"/>
              </w:rPr>
            </w:pPr>
            <w:r w:rsidRPr="0042278B">
              <w:rPr>
                <w:rFonts w:eastAsia="仿宋_GB2312"/>
                <w:bCs w:val="0"/>
                <w:color w:val="000000"/>
                <w:sz w:val="21"/>
              </w:rPr>
              <w:t>升学</w:t>
            </w:r>
          </w:p>
        </w:tc>
        <w:tc>
          <w:tcPr>
            <w:tcW w:w="40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15</w:t>
            </w:r>
          </w:p>
        </w:tc>
        <w:tc>
          <w:tcPr>
            <w:tcW w:w="55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6.67%</w:t>
            </w:r>
          </w:p>
        </w:tc>
        <w:tc>
          <w:tcPr>
            <w:tcW w:w="39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159</w:t>
            </w:r>
          </w:p>
        </w:tc>
        <w:tc>
          <w:tcPr>
            <w:tcW w:w="5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7.79%</w:t>
            </w:r>
          </w:p>
        </w:tc>
        <w:tc>
          <w:tcPr>
            <w:tcW w:w="39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1727</w:t>
            </w:r>
          </w:p>
        </w:tc>
        <w:tc>
          <w:tcPr>
            <w:tcW w:w="55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48.70%</w:t>
            </w:r>
          </w:p>
        </w:tc>
        <w:tc>
          <w:tcPr>
            <w:tcW w:w="39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1901</w:t>
            </w:r>
          </w:p>
        </w:tc>
        <w:tc>
          <w:tcPr>
            <w:tcW w:w="5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32.71%</w:t>
            </w:r>
          </w:p>
        </w:tc>
      </w:tr>
      <w:tr w:rsidR="000C273F" w:rsidRPr="0042278B" w:rsidTr="00A46BC6">
        <w:trPr>
          <w:trHeight w:val="270"/>
        </w:trPr>
        <w:tc>
          <w:tcPr>
            <w:cnfStyle w:val="001000000000"/>
            <w:tcW w:w="1175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rPr>
                <w:rFonts w:eastAsia="仿宋_GB2312"/>
                <w:bCs w:val="0"/>
                <w:color w:val="000000"/>
                <w:sz w:val="21"/>
              </w:rPr>
            </w:pPr>
            <w:r w:rsidRPr="0042278B">
              <w:rPr>
                <w:rFonts w:eastAsia="仿宋_GB2312"/>
                <w:bCs w:val="0"/>
                <w:color w:val="000000"/>
                <w:sz w:val="21"/>
              </w:rPr>
              <w:t>出国、出境</w:t>
            </w:r>
          </w:p>
        </w:tc>
        <w:tc>
          <w:tcPr>
            <w:tcW w:w="400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1</w:t>
            </w:r>
          </w:p>
        </w:tc>
        <w:tc>
          <w:tcPr>
            <w:tcW w:w="558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0.44%</w:t>
            </w:r>
          </w:p>
        </w:tc>
        <w:tc>
          <w:tcPr>
            <w:tcW w:w="398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6</w:t>
            </w:r>
          </w:p>
        </w:tc>
        <w:tc>
          <w:tcPr>
            <w:tcW w:w="557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0.29%</w:t>
            </w:r>
          </w:p>
        </w:tc>
        <w:tc>
          <w:tcPr>
            <w:tcW w:w="398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211</w:t>
            </w:r>
          </w:p>
        </w:tc>
        <w:tc>
          <w:tcPr>
            <w:tcW w:w="558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5.95%</w:t>
            </w:r>
          </w:p>
        </w:tc>
        <w:tc>
          <w:tcPr>
            <w:tcW w:w="398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218</w:t>
            </w:r>
          </w:p>
        </w:tc>
        <w:tc>
          <w:tcPr>
            <w:tcW w:w="557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3.75%</w:t>
            </w:r>
          </w:p>
        </w:tc>
      </w:tr>
      <w:tr w:rsidR="000C273F" w:rsidRPr="0042278B" w:rsidTr="00A46BC6">
        <w:trPr>
          <w:cnfStyle w:val="000000100000"/>
          <w:trHeight w:val="270"/>
        </w:trPr>
        <w:tc>
          <w:tcPr>
            <w:cnfStyle w:val="001000000000"/>
            <w:tcW w:w="117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rPr>
                <w:rFonts w:eastAsia="仿宋_GB2312"/>
                <w:bCs w:val="0"/>
                <w:color w:val="000000"/>
                <w:sz w:val="21"/>
              </w:rPr>
            </w:pPr>
            <w:r w:rsidRPr="0042278B">
              <w:rPr>
                <w:rFonts w:eastAsia="仿宋_GB2312"/>
                <w:bCs w:val="0"/>
                <w:color w:val="000000"/>
                <w:sz w:val="21"/>
              </w:rPr>
              <w:t>自主创业</w:t>
            </w:r>
          </w:p>
        </w:tc>
        <w:tc>
          <w:tcPr>
            <w:tcW w:w="40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1</w:t>
            </w:r>
          </w:p>
        </w:tc>
        <w:tc>
          <w:tcPr>
            <w:tcW w:w="55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0.44%</w:t>
            </w:r>
          </w:p>
        </w:tc>
        <w:tc>
          <w:tcPr>
            <w:tcW w:w="39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43</w:t>
            </w:r>
          </w:p>
        </w:tc>
        <w:tc>
          <w:tcPr>
            <w:tcW w:w="5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2.11%</w:t>
            </w:r>
          </w:p>
        </w:tc>
        <w:tc>
          <w:tcPr>
            <w:tcW w:w="39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90</w:t>
            </w:r>
          </w:p>
        </w:tc>
        <w:tc>
          <w:tcPr>
            <w:tcW w:w="55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2.54%</w:t>
            </w:r>
          </w:p>
        </w:tc>
        <w:tc>
          <w:tcPr>
            <w:tcW w:w="39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134</w:t>
            </w:r>
          </w:p>
        </w:tc>
        <w:tc>
          <w:tcPr>
            <w:tcW w:w="5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2.31%</w:t>
            </w:r>
          </w:p>
        </w:tc>
      </w:tr>
      <w:tr w:rsidR="000C273F" w:rsidRPr="0042278B" w:rsidTr="00A46BC6">
        <w:trPr>
          <w:trHeight w:val="270"/>
        </w:trPr>
        <w:tc>
          <w:tcPr>
            <w:cnfStyle w:val="001000000000"/>
            <w:tcW w:w="1175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rPr>
                <w:rFonts w:eastAsia="仿宋_GB2312"/>
                <w:bCs w:val="0"/>
                <w:color w:val="000000"/>
                <w:sz w:val="21"/>
              </w:rPr>
            </w:pPr>
            <w:r w:rsidRPr="0042278B">
              <w:rPr>
                <w:rFonts w:eastAsia="仿宋_GB2312"/>
                <w:bCs w:val="0"/>
                <w:color w:val="000000"/>
                <w:sz w:val="21"/>
              </w:rPr>
              <w:t>灵活就业</w:t>
            </w:r>
          </w:p>
        </w:tc>
        <w:tc>
          <w:tcPr>
            <w:tcW w:w="400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1</w:t>
            </w:r>
          </w:p>
        </w:tc>
        <w:tc>
          <w:tcPr>
            <w:tcW w:w="558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0.44%</w:t>
            </w:r>
          </w:p>
        </w:tc>
        <w:tc>
          <w:tcPr>
            <w:tcW w:w="398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14</w:t>
            </w:r>
          </w:p>
        </w:tc>
        <w:tc>
          <w:tcPr>
            <w:tcW w:w="557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0.69%</w:t>
            </w:r>
          </w:p>
        </w:tc>
        <w:tc>
          <w:tcPr>
            <w:tcW w:w="398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33</w:t>
            </w:r>
          </w:p>
        </w:tc>
        <w:tc>
          <w:tcPr>
            <w:tcW w:w="558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0.93%</w:t>
            </w:r>
          </w:p>
        </w:tc>
        <w:tc>
          <w:tcPr>
            <w:tcW w:w="398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48</w:t>
            </w:r>
          </w:p>
        </w:tc>
        <w:tc>
          <w:tcPr>
            <w:tcW w:w="557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0.83%</w:t>
            </w:r>
          </w:p>
        </w:tc>
      </w:tr>
      <w:tr w:rsidR="000C273F" w:rsidRPr="0042278B" w:rsidTr="00A46BC6">
        <w:trPr>
          <w:cnfStyle w:val="000000100000"/>
          <w:trHeight w:val="270"/>
        </w:trPr>
        <w:tc>
          <w:tcPr>
            <w:cnfStyle w:val="001000000000"/>
            <w:tcW w:w="117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rPr>
                <w:rFonts w:eastAsia="仿宋_GB2312"/>
                <w:bCs w:val="0"/>
                <w:color w:val="000000"/>
                <w:w w:val="80"/>
                <w:sz w:val="21"/>
              </w:rPr>
            </w:pPr>
            <w:r w:rsidRPr="0042278B">
              <w:rPr>
                <w:rFonts w:eastAsia="仿宋_GB2312"/>
                <w:bCs w:val="0"/>
                <w:color w:val="000000"/>
                <w:w w:val="80"/>
                <w:sz w:val="21"/>
              </w:rPr>
              <w:t>签劳动合同形式就业</w:t>
            </w:r>
          </w:p>
        </w:tc>
        <w:tc>
          <w:tcPr>
            <w:tcW w:w="40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1</w:t>
            </w:r>
          </w:p>
        </w:tc>
        <w:tc>
          <w:tcPr>
            <w:tcW w:w="55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0.44%</w:t>
            </w:r>
          </w:p>
        </w:tc>
        <w:tc>
          <w:tcPr>
            <w:tcW w:w="39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38</w:t>
            </w:r>
          </w:p>
        </w:tc>
        <w:tc>
          <w:tcPr>
            <w:tcW w:w="5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1.86%</w:t>
            </w:r>
          </w:p>
        </w:tc>
        <w:tc>
          <w:tcPr>
            <w:tcW w:w="39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20</w:t>
            </w:r>
          </w:p>
        </w:tc>
        <w:tc>
          <w:tcPr>
            <w:tcW w:w="55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0.56%</w:t>
            </w:r>
          </w:p>
        </w:tc>
        <w:tc>
          <w:tcPr>
            <w:tcW w:w="39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59</w:t>
            </w:r>
          </w:p>
        </w:tc>
        <w:tc>
          <w:tcPr>
            <w:tcW w:w="5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1.02%</w:t>
            </w:r>
          </w:p>
        </w:tc>
      </w:tr>
      <w:tr w:rsidR="000C273F" w:rsidRPr="0042278B" w:rsidTr="00A46BC6">
        <w:trPr>
          <w:trHeight w:val="270"/>
        </w:trPr>
        <w:tc>
          <w:tcPr>
            <w:cnfStyle w:val="001000000000"/>
            <w:tcW w:w="1175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rPr>
                <w:rFonts w:eastAsia="仿宋_GB2312"/>
                <w:bCs w:val="0"/>
                <w:color w:val="000000"/>
                <w:sz w:val="21"/>
              </w:rPr>
            </w:pPr>
            <w:r w:rsidRPr="0042278B">
              <w:rPr>
                <w:rFonts w:eastAsia="仿宋_GB2312"/>
                <w:bCs w:val="0"/>
                <w:color w:val="000000"/>
                <w:sz w:val="21"/>
              </w:rPr>
              <w:t>待就业</w:t>
            </w:r>
          </w:p>
        </w:tc>
        <w:tc>
          <w:tcPr>
            <w:tcW w:w="400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13</w:t>
            </w:r>
          </w:p>
        </w:tc>
        <w:tc>
          <w:tcPr>
            <w:tcW w:w="558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5.78%</w:t>
            </w:r>
          </w:p>
        </w:tc>
        <w:tc>
          <w:tcPr>
            <w:tcW w:w="398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81</w:t>
            </w:r>
          </w:p>
        </w:tc>
        <w:tc>
          <w:tcPr>
            <w:tcW w:w="557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3.97%</w:t>
            </w:r>
          </w:p>
        </w:tc>
        <w:tc>
          <w:tcPr>
            <w:tcW w:w="398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179</w:t>
            </w:r>
          </w:p>
        </w:tc>
        <w:tc>
          <w:tcPr>
            <w:tcW w:w="558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5.05%</w:t>
            </w:r>
          </w:p>
        </w:tc>
        <w:tc>
          <w:tcPr>
            <w:tcW w:w="398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273</w:t>
            </w:r>
          </w:p>
        </w:tc>
        <w:tc>
          <w:tcPr>
            <w:tcW w:w="557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4.70%</w:t>
            </w:r>
          </w:p>
        </w:tc>
      </w:tr>
      <w:tr w:rsidR="000C273F" w:rsidRPr="0042278B" w:rsidTr="00A46BC6">
        <w:trPr>
          <w:cnfStyle w:val="000000100000"/>
          <w:trHeight w:val="270"/>
        </w:trPr>
        <w:tc>
          <w:tcPr>
            <w:cnfStyle w:val="001000000000"/>
            <w:tcW w:w="117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rPr>
                <w:rFonts w:eastAsia="仿宋_GB2312"/>
                <w:bCs w:val="0"/>
                <w:color w:val="000000"/>
                <w:sz w:val="21"/>
              </w:rPr>
            </w:pPr>
            <w:r w:rsidRPr="0042278B">
              <w:rPr>
                <w:rFonts w:eastAsia="仿宋_GB2312"/>
                <w:bCs w:val="0"/>
                <w:color w:val="000000"/>
                <w:sz w:val="21"/>
              </w:rPr>
              <w:t>总计</w:t>
            </w:r>
          </w:p>
        </w:tc>
        <w:tc>
          <w:tcPr>
            <w:tcW w:w="40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225</w:t>
            </w:r>
          </w:p>
        </w:tc>
        <w:tc>
          <w:tcPr>
            <w:tcW w:w="55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100.00%</w:t>
            </w:r>
          </w:p>
        </w:tc>
        <w:tc>
          <w:tcPr>
            <w:tcW w:w="39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2041</w:t>
            </w:r>
          </w:p>
        </w:tc>
        <w:tc>
          <w:tcPr>
            <w:tcW w:w="5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100.00%</w:t>
            </w:r>
          </w:p>
        </w:tc>
        <w:tc>
          <w:tcPr>
            <w:tcW w:w="39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3546</w:t>
            </w:r>
          </w:p>
        </w:tc>
        <w:tc>
          <w:tcPr>
            <w:tcW w:w="55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100.00%</w:t>
            </w:r>
          </w:p>
        </w:tc>
        <w:tc>
          <w:tcPr>
            <w:tcW w:w="39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5812</w:t>
            </w:r>
          </w:p>
        </w:tc>
        <w:tc>
          <w:tcPr>
            <w:tcW w:w="5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100000"/>
              <w:rPr>
                <w:rFonts w:eastAsia="仿宋_GB2312"/>
                <w:color w:val="000000"/>
                <w:sz w:val="21"/>
              </w:rPr>
            </w:pPr>
            <w:r w:rsidRPr="0042278B">
              <w:rPr>
                <w:rFonts w:eastAsia="仿宋_GB2312"/>
                <w:color w:val="000000"/>
                <w:sz w:val="21"/>
              </w:rPr>
              <w:t>100.00%</w:t>
            </w:r>
          </w:p>
        </w:tc>
      </w:tr>
      <w:tr w:rsidR="000C273F" w:rsidRPr="0042278B" w:rsidTr="00A46BC6">
        <w:trPr>
          <w:trHeight w:val="270"/>
        </w:trPr>
        <w:tc>
          <w:tcPr>
            <w:cnfStyle w:val="001000000000"/>
            <w:tcW w:w="1175" w:type="pct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rPr>
                <w:rFonts w:eastAsia="仿宋_GB2312"/>
                <w:bCs w:val="0"/>
                <w:color w:val="000000"/>
                <w:sz w:val="21"/>
              </w:rPr>
            </w:pPr>
            <w:r w:rsidRPr="0042278B">
              <w:rPr>
                <w:rFonts w:eastAsia="仿宋_GB2312"/>
                <w:bCs w:val="0"/>
                <w:color w:val="000000"/>
                <w:sz w:val="21"/>
              </w:rPr>
              <w:t>就业率</w:t>
            </w:r>
          </w:p>
        </w:tc>
        <w:tc>
          <w:tcPr>
            <w:tcW w:w="958" w:type="pct"/>
            <w:gridSpan w:val="2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b/>
                <w:color w:val="000000"/>
                <w:sz w:val="21"/>
              </w:rPr>
            </w:pPr>
            <w:r w:rsidRPr="0042278B">
              <w:rPr>
                <w:rFonts w:eastAsia="仿宋_GB2312"/>
                <w:b/>
                <w:color w:val="000000"/>
                <w:sz w:val="21"/>
              </w:rPr>
              <w:t>94.22%</w:t>
            </w:r>
          </w:p>
        </w:tc>
        <w:tc>
          <w:tcPr>
            <w:tcW w:w="955" w:type="pct"/>
            <w:gridSpan w:val="2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b/>
                <w:color w:val="000000"/>
                <w:sz w:val="21"/>
              </w:rPr>
            </w:pPr>
            <w:r w:rsidRPr="0042278B">
              <w:rPr>
                <w:rFonts w:eastAsia="仿宋_GB2312"/>
                <w:b/>
                <w:color w:val="000000"/>
                <w:sz w:val="21"/>
              </w:rPr>
              <w:t>96.03%</w:t>
            </w:r>
          </w:p>
        </w:tc>
        <w:tc>
          <w:tcPr>
            <w:tcW w:w="956" w:type="pct"/>
            <w:gridSpan w:val="2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b/>
                <w:color w:val="000000"/>
                <w:sz w:val="21"/>
              </w:rPr>
            </w:pPr>
            <w:r w:rsidRPr="0042278B">
              <w:rPr>
                <w:rFonts w:eastAsia="仿宋_GB2312"/>
                <w:b/>
                <w:color w:val="000000"/>
                <w:sz w:val="21"/>
              </w:rPr>
              <w:t>94.95%</w:t>
            </w:r>
          </w:p>
        </w:tc>
        <w:tc>
          <w:tcPr>
            <w:tcW w:w="955" w:type="pct"/>
            <w:gridSpan w:val="2"/>
            <w:shd w:val="clear" w:color="auto" w:fill="FBE4D5"/>
            <w:noWrap/>
            <w:vAlign w:val="center"/>
            <w:hideMark/>
          </w:tcPr>
          <w:p w:rsidR="000C273F" w:rsidRPr="0042278B" w:rsidRDefault="000C273F" w:rsidP="00A46BC6">
            <w:pPr>
              <w:widowControl/>
              <w:spacing w:line="240" w:lineRule="auto"/>
              <w:ind w:firstLineChars="0" w:firstLine="0"/>
              <w:jc w:val="center"/>
              <w:cnfStyle w:val="000000000000"/>
              <w:rPr>
                <w:rFonts w:eastAsia="仿宋_GB2312"/>
                <w:b/>
                <w:color w:val="000000"/>
                <w:sz w:val="21"/>
              </w:rPr>
            </w:pPr>
            <w:r w:rsidRPr="0042278B">
              <w:rPr>
                <w:rFonts w:eastAsia="仿宋_GB2312"/>
                <w:b/>
                <w:color w:val="000000"/>
                <w:sz w:val="21"/>
              </w:rPr>
              <w:t>95.30%</w:t>
            </w:r>
          </w:p>
        </w:tc>
      </w:tr>
    </w:tbl>
    <w:p w:rsidR="004030F4" w:rsidRPr="00B62B64" w:rsidRDefault="00CD399E" w:rsidP="004030F4">
      <w:pPr>
        <w:pStyle w:val="31"/>
        <w:spacing w:before="156" w:after="156"/>
        <w:ind w:firstLine="560"/>
        <w:rPr>
          <w:rFonts w:ascii="仿宋_GB2312" w:eastAsia="仿宋_GB2312"/>
          <w:b w:val="0"/>
        </w:rPr>
      </w:pPr>
      <w:bookmarkStart w:id="3" w:name="_Toc438753475"/>
      <w:bookmarkStart w:id="4" w:name="_Toc439772346"/>
      <w:bookmarkStart w:id="5" w:name="_Toc438754315"/>
      <w:r w:rsidRPr="00B62B64">
        <w:rPr>
          <w:rFonts w:ascii="仿宋_GB2312" w:eastAsia="仿宋_GB2312" w:hint="eastAsia"/>
          <w:b w:val="0"/>
        </w:rPr>
        <w:t>5、</w:t>
      </w:r>
      <w:r w:rsidR="004030F4" w:rsidRPr="00B62B64">
        <w:rPr>
          <w:rFonts w:ascii="仿宋_GB2312" w:eastAsia="仿宋_GB2312" w:hint="eastAsia"/>
          <w:b w:val="0"/>
        </w:rPr>
        <w:t>单位性质</w:t>
      </w:r>
      <w:bookmarkEnd w:id="3"/>
      <w:bookmarkEnd w:id="4"/>
      <w:bookmarkEnd w:id="5"/>
      <w:r w:rsidR="004030F4" w:rsidRPr="00B62B64">
        <w:rPr>
          <w:rFonts w:ascii="仿宋_GB2312" w:eastAsia="仿宋_GB2312" w:hint="eastAsia"/>
          <w:b w:val="0"/>
        </w:rPr>
        <w:t>流向</w:t>
      </w:r>
    </w:p>
    <w:p w:rsidR="004030F4" w:rsidRPr="00CD399E" w:rsidRDefault="00CB4954" w:rsidP="00B331D6">
      <w:pPr>
        <w:spacing w:beforeLines="50" w:line="240" w:lineRule="auto"/>
        <w:ind w:firstLineChars="0" w:firstLine="0"/>
        <w:rPr>
          <w:rFonts w:ascii="仿宋_GB2312" w:eastAsia="仿宋_GB2312"/>
        </w:rPr>
      </w:pPr>
      <w:r>
        <w:rPr>
          <w:rFonts w:eastAsia="仿宋_GB2312" w:hint="eastAsia"/>
          <w:lang w:val="zh-CN"/>
        </w:rPr>
        <w:t xml:space="preserve">    </w:t>
      </w:r>
      <w:r w:rsidRPr="0042278B">
        <w:rPr>
          <w:rFonts w:eastAsia="仿宋_GB2312"/>
          <w:lang w:val="zh-CN"/>
        </w:rPr>
        <w:t>博士单位性质主要为高等教育单位（占博士就业数的</w:t>
      </w:r>
      <w:r w:rsidRPr="0042278B">
        <w:rPr>
          <w:rFonts w:eastAsia="仿宋_GB2312"/>
          <w:lang w:val="zh-CN"/>
        </w:rPr>
        <w:t>55.02%</w:t>
      </w:r>
      <w:r w:rsidRPr="0042278B">
        <w:rPr>
          <w:rFonts w:eastAsia="仿宋_GB2312"/>
          <w:lang w:val="zh-CN"/>
        </w:rPr>
        <w:t>），其次是科研设计单位（</w:t>
      </w:r>
      <w:r w:rsidRPr="0042278B">
        <w:rPr>
          <w:rFonts w:eastAsia="仿宋_GB2312"/>
          <w:lang w:val="zh-CN"/>
        </w:rPr>
        <w:t>22.49%</w:t>
      </w:r>
      <w:r w:rsidRPr="0042278B">
        <w:rPr>
          <w:rFonts w:eastAsia="仿宋_GB2312"/>
          <w:lang w:val="zh-CN"/>
        </w:rPr>
        <w:t>）；硕士单位性质以国有企业（</w:t>
      </w:r>
      <w:r w:rsidRPr="0042278B">
        <w:rPr>
          <w:rFonts w:eastAsia="仿宋_GB2312"/>
          <w:lang w:val="zh-CN"/>
        </w:rPr>
        <w:t>35.89%</w:t>
      </w:r>
      <w:r w:rsidRPr="0042278B">
        <w:rPr>
          <w:rFonts w:eastAsia="仿宋_GB2312"/>
          <w:lang w:val="zh-CN"/>
        </w:rPr>
        <w:t>）为主，其次是私营企业（</w:t>
      </w:r>
      <w:r w:rsidRPr="0042278B">
        <w:rPr>
          <w:rFonts w:eastAsia="仿宋_GB2312"/>
          <w:lang w:val="zh-CN"/>
        </w:rPr>
        <w:t>26.03%</w:t>
      </w:r>
      <w:r w:rsidRPr="0042278B">
        <w:rPr>
          <w:rFonts w:eastAsia="仿宋_GB2312"/>
          <w:lang w:val="zh-CN"/>
        </w:rPr>
        <w:t>）；本科生主要集中在国有企业（</w:t>
      </w:r>
      <w:r w:rsidRPr="0042278B">
        <w:rPr>
          <w:rFonts w:eastAsia="仿宋_GB2312"/>
          <w:lang w:val="zh-CN"/>
        </w:rPr>
        <w:t>40.58%</w:t>
      </w:r>
      <w:r w:rsidRPr="0042278B">
        <w:rPr>
          <w:rFonts w:eastAsia="仿宋_GB2312"/>
          <w:lang w:val="zh-CN"/>
        </w:rPr>
        <w:t>），其次是私营企业（</w:t>
      </w:r>
      <w:r w:rsidRPr="0042278B">
        <w:rPr>
          <w:rFonts w:eastAsia="仿宋_GB2312"/>
          <w:lang w:val="zh-CN"/>
        </w:rPr>
        <w:t>34.06%</w:t>
      </w:r>
      <w:r w:rsidRPr="0042278B">
        <w:rPr>
          <w:rFonts w:eastAsia="仿宋_GB2312"/>
          <w:lang w:val="zh-CN"/>
        </w:rPr>
        <w:t>）</w:t>
      </w:r>
      <w:r w:rsidR="00B331D6">
        <w:rPr>
          <w:rFonts w:eastAsia="仿宋_GB2312" w:hint="eastAsia"/>
          <w:lang w:val="zh-CN"/>
        </w:rPr>
        <w:t>。</w:t>
      </w:r>
    </w:p>
    <w:p w:rsidR="0082616F" w:rsidRPr="0042278B" w:rsidRDefault="0082616F" w:rsidP="0082616F">
      <w:pPr>
        <w:spacing w:line="240" w:lineRule="auto"/>
        <w:ind w:firstLineChars="0" w:firstLine="0"/>
        <w:jc w:val="center"/>
        <w:rPr>
          <w:rFonts w:eastAsia="仿宋_GB2312"/>
        </w:rPr>
      </w:pPr>
      <w:r w:rsidRPr="0042278B">
        <w:rPr>
          <w:rFonts w:eastAsia="仿宋_GB2312"/>
          <w:noProof/>
        </w:rPr>
        <w:lastRenderedPageBreak/>
        <w:drawing>
          <wp:inline distT="0" distB="0" distL="0" distR="0">
            <wp:extent cx="4574692" cy="2341700"/>
            <wp:effectExtent l="19050" t="0" r="16358" b="1450"/>
            <wp:docPr id="12" name="图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2616F" w:rsidRPr="0042278B" w:rsidRDefault="0082616F" w:rsidP="0082616F">
      <w:pPr>
        <w:spacing w:line="240" w:lineRule="auto"/>
        <w:ind w:firstLineChars="0" w:firstLine="0"/>
        <w:jc w:val="center"/>
        <w:rPr>
          <w:rFonts w:eastAsia="仿宋_GB2312"/>
        </w:rPr>
      </w:pPr>
      <w:r w:rsidRPr="0042278B">
        <w:rPr>
          <w:rFonts w:eastAsia="仿宋_GB2312"/>
        </w:rPr>
        <w:t>图</w:t>
      </w:r>
      <w:r w:rsidRPr="0042278B">
        <w:rPr>
          <w:rFonts w:eastAsia="仿宋_GB2312"/>
        </w:rPr>
        <w:t>1-1</w:t>
      </w:r>
      <w:r w:rsidRPr="0042278B">
        <w:rPr>
          <w:rFonts w:eastAsia="仿宋_GB2312"/>
        </w:rPr>
        <w:t>博士生单位性质分布图</w:t>
      </w:r>
    </w:p>
    <w:p w:rsidR="0082616F" w:rsidRPr="0042278B" w:rsidRDefault="0082616F" w:rsidP="0082616F">
      <w:pPr>
        <w:spacing w:line="240" w:lineRule="auto"/>
        <w:ind w:firstLineChars="0" w:firstLine="0"/>
        <w:jc w:val="center"/>
        <w:rPr>
          <w:rFonts w:eastAsia="仿宋_GB2312"/>
        </w:rPr>
      </w:pPr>
      <w:r w:rsidRPr="0042278B">
        <w:rPr>
          <w:rFonts w:eastAsia="仿宋_GB2312"/>
          <w:noProof/>
        </w:rPr>
        <w:drawing>
          <wp:inline distT="0" distB="0" distL="0" distR="0">
            <wp:extent cx="4574692" cy="2444058"/>
            <wp:effectExtent l="19050" t="0" r="16358" b="0"/>
            <wp:docPr id="11" name="图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616F" w:rsidRPr="0042278B" w:rsidRDefault="0082616F" w:rsidP="0082616F">
      <w:pPr>
        <w:spacing w:line="240" w:lineRule="auto"/>
        <w:ind w:firstLineChars="0" w:firstLine="0"/>
        <w:jc w:val="center"/>
        <w:rPr>
          <w:rFonts w:eastAsia="仿宋_GB2312"/>
        </w:rPr>
      </w:pPr>
      <w:r w:rsidRPr="0042278B">
        <w:rPr>
          <w:rFonts w:eastAsia="仿宋_GB2312"/>
        </w:rPr>
        <w:t>图</w:t>
      </w:r>
      <w:r w:rsidRPr="0042278B">
        <w:rPr>
          <w:rFonts w:eastAsia="仿宋_GB2312"/>
        </w:rPr>
        <w:t>1-2</w:t>
      </w:r>
      <w:r w:rsidRPr="0042278B">
        <w:rPr>
          <w:rFonts w:eastAsia="仿宋_GB2312"/>
        </w:rPr>
        <w:t>硕士生单位性质分布图</w:t>
      </w:r>
    </w:p>
    <w:p w:rsidR="0082616F" w:rsidRPr="0042278B" w:rsidRDefault="0082616F" w:rsidP="0082616F">
      <w:pPr>
        <w:spacing w:line="240" w:lineRule="auto"/>
        <w:ind w:firstLineChars="0" w:firstLine="0"/>
        <w:jc w:val="center"/>
        <w:rPr>
          <w:rFonts w:eastAsia="仿宋_GB2312"/>
        </w:rPr>
      </w:pPr>
      <w:r w:rsidRPr="0042278B">
        <w:rPr>
          <w:rFonts w:eastAsia="仿宋_GB2312"/>
          <w:noProof/>
        </w:rPr>
        <w:drawing>
          <wp:inline distT="0" distB="0" distL="0" distR="0">
            <wp:extent cx="4578018" cy="2422478"/>
            <wp:effectExtent l="19050" t="0" r="13032" b="0"/>
            <wp:docPr id="4" name="图表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616F" w:rsidRPr="0042278B" w:rsidRDefault="0082616F" w:rsidP="0082616F">
      <w:pPr>
        <w:spacing w:line="240" w:lineRule="auto"/>
        <w:ind w:firstLineChars="0" w:firstLine="0"/>
        <w:jc w:val="center"/>
        <w:rPr>
          <w:rFonts w:eastAsia="仿宋_GB2312"/>
        </w:rPr>
      </w:pPr>
      <w:r w:rsidRPr="0042278B">
        <w:rPr>
          <w:rFonts w:eastAsia="仿宋_GB2312"/>
        </w:rPr>
        <w:t>图</w:t>
      </w:r>
      <w:r w:rsidRPr="0042278B">
        <w:rPr>
          <w:rFonts w:eastAsia="仿宋_GB2312"/>
        </w:rPr>
        <w:t>1-3</w:t>
      </w:r>
      <w:r w:rsidRPr="0042278B">
        <w:rPr>
          <w:rFonts w:eastAsia="仿宋_GB2312"/>
        </w:rPr>
        <w:t>本科生单位性质分布图</w:t>
      </w:r>
    </w:p>
    <w:p w:rsidR="00313DE5" w:rsidRPr="0082616F" w:rsidRDefault="00313DE5" w:rsidP="00BF2891">
      <w:pPr>
        <w:ind w:firstLine="560"/>
        <w:rPr>
          <w:rFonts w:ascii="仿宋_GB2312" w:eastAsia="仿宋_GB2312"/>
        </w:rPr>
      </w:pPr>
    </w:p>
    <w:sectPr w:rsidR="00313DE5" w:rsidRPr="0082616F" w:rsidSect="008747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A8A" w:rsidRDefault="00044A8A" w:rsidP="00BF2891">
      <w:pPr>
        <w:spacing w:line="240" w:lineRule="auto"/>
        <w:ind w:firstLine="560"/>
      </w:pPr>
      <w:r>
        <w:separator/>
      </w:r>
    </w:p>
  </w:endnote>
  <w:endnote w:type="continuationSeparator" w:id="1">
    <w:p w:rsidR="00044A8A" w:rsidRDefault="00044A8A" w:rsidP="00BF2891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276" w:rsidRDefault="001F527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276" w:rsidRDefault="001F527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276" w:rsidRDefault="001F52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A8A" w:rsidRDefault="00044A8A" w:rsidP="00BF2891">
      <w:pPr>
        <w:spacing w:line="240" w:lineRule="auto"/>
        <w:ind w:firstLine="560"/>
      </w:pPr>
      <w:r>
        <w:separator/>
      </w:r>
    </w:p>
  </w:footnote>
  <w:footnote w:type="continuationSeparator" w:id="1">
    <w:p w:rsidR="00044A8A" w:rsidRDefault="00044A8A" w:rsidP="00BF2891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276" w:rsidRDefault="001F52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276" w:rsidRDefault="001F52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276" w:rsidRDefault="001F52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891"/>
    <w:rsid w:val="00044A8A"/>
    <w:rsid w:val="000C273F"/>
    <w:rsid w:val="001F5276"/>
    <w:rsid w:val="00246CE6"/>
    <w:rsid w:val="00313DE5"/>
    <w:rsid w:val="004030F4"/>
    <w:rsid w:val="007632E6"/>
    <w:rsid w:val="0082616F"/>
    <w:rsid w:val="0087471D"/>
    <w:rsid w:val="00B331D6"/>
    <w:rsid w:val="00B62B64"/>
    <w:rsid w:val="00BF2891"/>
    <w:rsid w:val="00CB4954"/>
    <w:rsid w:val="00CD399E"/>
    <w:rsid w:val="00E3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91"/>
    <w:pPr>
      <w:widowControl w:val="0"/>
      <w:spacing w:line="500" w:lineRule="exact"/>
      <w:ind w:firstLineChars="200" w:firstLine="200"/>
      <w:jc w:val="both"/>
    </w:pPr>
    <w:rPr>
      <w:rFonts w:ascii="Times New Roman" w:eastAsia="仿宋" w:hAnsi="Times New Roman" w:cs="Times New Roman"/>
      <w:sz w:val="28"/>
      <w:szCs w:val="2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F2891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030F4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F2891"/>
    <w:pPr>
      <w:keepNext/>
      <w:keepLines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F2891"/>
    <w:pPr>
      <w:keepNext/>
      <w:keepLines/>
      <w:spacing w:before="280" w:after="290" w:line="376" w:lineRule="atLeast"/>
      <w:outlineLvl w:val="4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8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891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891"/>
    <w:rPr>
      <w:sz w:val="18"/>
      <w:szCs w:val="18"/>
    </w:rPr>
  </w:style>
  <w:style w:type="character" w:customStyle="1" w:styleId="20">
    <w:name w:val="2、二级标题 字符"/>
    <w:link w:val="21"/>
    <w:rsid w:val="00BF2891"/>
    <w:rPr>
      <w:rFonts w:ascii="Cambria" w:eastAsia="黑体" w:hAnsi="Cambria" w:cs="Times New Roman"/>
      <w:bCs/>
      <w:kern w:val="0"/>
      <w:sz w:val="28"/>
      <w:szCs w:val="30"/>
      <w:lang w:val="zh-CN"/>
    </w:rPr>
  </w:style>
  <w:style w:type="paragraph" w:customStyle="1" w:styleId="21">
    <w:name w:val="2、二级标题"/>
    <w:basedOn w:val="2"/>
    <w:next w:val="a"/>
    <w:link w:val="20"/>
    <w:qFormat/>
    <w:rsid w:val="00BF2891"/>
    <w:pPr>
      <w:spacing w:beforeLines="50" w:afterLines="50" w:line="500" w:lineRule="exact"/>
      <w:ind w:firstLineChars="0" w:firstLine="0"/>
      <w:jc w:val="left"/>
    </w:pPr>
    <w:rPr>
      <w:rFonts w:ascii="Cambria" w:eastAsia="黑体" w:hAnsi="Cambria" w:cs="Times New Roman"/>
      <w:b w:val="0"/>
      <w:kern w:val="0"/>
      <w:sz w:val="28"/>
      <w:szCs w:val="30"/>
      <w:lang w:val="zh-CN"/>
    </w:rPr>
  </w:style>
  <w:style w:type="character" w:customStyle="1" w:styleId="2Char">
    <w:name w:val="标题 2 Char"/>
    <w:basedOn w:val="a0"/>
    <w:link w:val="2"/>
    <w:uiPriority w:val="9"/>
    <w:semiHidden/>
    <w:rsid w:val="00BF289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50">
    <w:name w:val="5、图表标题 字符"/>
    <w:link w:val="51"/>
    <w:qFormat/>
    <w:rsid w:val="00BF2891"/>
    <w:rPr>
      <w:rFonts w:ascii="Times New Roman" w:eastAsia="仿宋" w:hAnsi="Times New Roman" w:cs="Times New Roman"/>
      <w:bCs/>
      <w:kern w:val="0"/>
      <w:sz w:val="28"/>
      <w:szCs w:val="28"/>
      <w:lang w:val="zh-CN"/>
    </w:rPr>
  </w:style>
  <w:style w:type="paragraph" w:customStyle="1" w:styleId="51">
    <w:name w:val="5、图表标题"/>
    <w:basedOn w:val="5"/>
    <w:next w:val="a"/>
    <w:link w:val="50"/>
    <w:qFormat/>
    <w:rsid w:val="00BF2891"/>
    <w:pPr>
      <w:spacing w:before="0" w:after="120" w:line="500" w:lineRule="exact"/>
      <w:ind w:firstLineChars="0" w:firstLine="0"/>
      <w:jc w:val="center"/>
    </w:pPr>
    <w:rPr>
      <w:b w:val="0"/>
      <w:kern w:val="0"/>
      <w:lang w:val="zh-CN"/>
    </w:rPr>
  </w:style>
  <w:style w:type="character" w:customStyle="1" w:styleId="40">
    <w:name w:val="4、四级标题 字符"/>
    <w:link w:val="41"/>
    <w:rsid w:val="00BF2891"/>
    <w:rPr>
      <w:rFonts w:ascii="Cambria" w:eastAsia="仿宋" w:hAnsi="Cambria" w:cs="Times New Roman"/>
      <w:bCs/>
      <w:sz w:val="28"/>
      <w:szCs w:val="30"/>
    </w:rPr>
  </w:style>
  <w:style w:type="paragraph" w:customStyle="1" w:styleId="41">
    <w:name w:val="4、四级标题"/>
    <w:basedOn w:val="4"/>
    <w:next w:val="a"/>
    <w:link w:val="40"/>
    <w:qFormat/>
    <w:rsid w:val="00BF2891"/>
    <w:pPr>
      <w:spacing w:before="0" w:after="0" w:line="500" w:lineRule="exact"/>
      <w:ind w:firstLineChars="0" w:firstLine="0"/>
      <w:jc w:val="left"/>
    </w:pPr>
    <w:rPr>
      <w:rFonts w:ascii="Cambria" w:eastAsia="仿宋" w:hAnsi="Cambria" w:cs="Times New Roman"/>
      <w:b w:val="0"/>
      <w:szCs w:val="30"/>
    </w:rPr>
  </w:style>
  <w:style w:type="character" w:customStyle="1" w:styleId="5Char">
    <w:name w:val="标题 5 Char"/>
    <w:basedOn w:val="a0"/>
    <w:link w:val="5"/>
    <w:uiPriority w:val="9"/>
    <w:semiHidden/>
    <w:rsid w:val="00BF2891"/>
    <w:rPr>
      <w:rFonts w:ascii="Times New Roman" w:eastAsia="仿宋" w:hAnsi="Times New Roman" w:cs="Times New Roman"/>
      <w:b/>
      <w:bCs/>
      <w:sz w:val="28"/>
      <w:szCs w:val="28"/>
    </w:rPr>
  </w:style>
  <w:style w:type="character" w:customStyle="1" w:styleId="4Char">
    <w:name w:val="标题 4 Char"/>
    <w:basedOn w:val="a0"/>
    <w:link w:val="4"/>
    <w:uiPriority w:val="9"/>
    <w:semiHidden/>
    <w:rsid w:val="00BF28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3、三级标题 字符"/>
    <w:link w:val="31"/>
    <w:rsid w:val="004030F4"/>
    <w:rPr>
      <w:rFonts w:ascii="Times New Roman" w:eastAsia="仿宋" w:hAnsi="Times New Roman" w:cs="Times New Roman"/>
      <w:b/>
      <w:bCs/>
      <w:kern w:val="0"/>
      <w:sz w:val="28"/>
      <w:szCs w:val="30"/>
      <w:lang w:val="zh-CN"/>
    </w:rPr>
  </w:style>
  <w:style w:type="paragraph" w:customStyle="1" w:styleId="31">
    <w:name w:val="3、三级标题"/>
    <w:basedOn w:val="3"/>
    <w:next w:val="a"/>
    <w:link w:val="30"/>
    <w:qFormat/>
    <w:rsid w:val="004030F4"/>
    <w:pPr>
      <w:spacing w:beforeLines="50" w:afterLines="50" w:line="500" w:lineRule="exact"/>
      <w:ind w:firstLineChars="0" w:firstLine="0"/>
      <w:jc w:val="left"/>
    </w:pPr>
    <w:rPr>
      <w:kern w:val="0"/>
      <w:sz w:val="28"/>
      <w:szCs w:val="30"/>
      <w:lang w:val="zh-CN"/>
    </w:rPr>
  </w:style>
  <w:style w:type="character" w:customStyle="1" w:styleId="3Char">
    <w:name w:val="标题 3 Char"/>
    <w:basedOn w:val="a0"/>
    <w:link w:val="3"/>
    <w:uiPriority w:val="9"/>
    <w:semiHidden/>
    <w:rsid w:val="004030F4"/>
    <w:rPr>
      <w:rFonts w:ascii="Times New Roman" w:eastAsia="仿宋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4030F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30F4"/>
    <w:rPr>
      <w:rFonts w:ascii="Times New Roman" w:eastAsia="仿宋" w:hAnsi="Times New Roman" w:cs="Times New Roman"/>
      <w:sz w:val="18"/>
      <w:szCs w:val="18"/>
    </w:rPr>
  </w:style>
  <w:style w:type="table" w:styleId="-2">
    <w:name w:val="Light Shading Accent 2"/>
    <w:basedOn w:val="a1"/>
    <w:uiPriority w:val="60"/>
    <w:rsid w:val="000C273F"/>
    <w:rPr>
      <w:rFonts w:ascii="Times New Roman" w:eastAsia="宋体" w:hAnsi="Times New Roman" w:cs="Times New Roman"/>
      <w:color w:val="943634" w:themeColor="accent2" w:themeShade="BF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17&#24180;&#23601;&#19994;&#36136;&#37327;&#25253;&#21578;\2017&#23601;&#19994;&#36136;&#37327;&#25253;&#2157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17&#24180;&#23601;&#19994;&#36136;&#37327;&#25253;&#21578;\2017&#23601;&#19994;&#36136;&#37327;&#25253;&#2157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17&#24180;&#23601;&#19994;&#36136;&#37327;&#25253;&#21578;\2017&#23601;&#19994;&#36136;&#37327;&#25253;&#2157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8"/>
  <c:chart>
    <c:title>
      <c:tx>
        <c:rich>
          <a:bodyPr/>
          <a:lstStyle/>
          <a:p>
            <a:pPr>
              <a:defRPr sz="1400"/>
            </a:pPr>
            <a:r>
              <a:rPr lang="zh-CN" altLang="en-US" sz="1400"/>
              <a:t>博士</a:t>
            </a:r>
            <a:endParaRPr lang="zh-CN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0"/>
                  <c:y val="-5.5555555555555455E-2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0"/>
                  <c:y val="-7.407407407407407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-5.0925337632081604E-17"/>
                  <c:y val="-4.1666666666666664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-2.7777777777778286E-3"/>
                  <c:y val="-4.1666666666666664E-2"/>
                </c:manualLayout>
              </c:layout>
              <c:dLblPos val="inEnd"/>
              <c:showVal val="1"/>
            </c:dLbl>
            <c:dLblPos val="inEnd"/>
            <c:showVal val="1"/>
          </c:dLbls>
          <c:cat>
            <c:strRef>
              <c:f>'1-10'!$K$3:$K$10</c:f>
              <c:strCache>
                <c:ptCount val="8"/>
                <c:pt idx="0">
                  <c:v>高等教育单位</c:v>
                </c:pt>
                <c:pt idx="1">
                  <c:v>科研单位</c:v>
                </c:pt>
                <c:pt idx="2">
                  <c:v>私营企业</c:v>
                </c:pt>
                <c:pt idx="3">
                  <c:v>国有企业</c:v>
                </c:pt>
                <c:pt idx="4">
                  <c:v>党政机关</c:v>
                </c:pt>
                <c:pt idx="5">
                  <c:v>事业单位聘用</c:v>
                </c:pt>
                <c:pt idx="6">
                  <c:v>部队</c:v>
                </c:pt>
                <c:pt idx="7">
                  <c:v>其他事业单位</c:v>
                </c:pt>
              </c:strCache>
            </c:strRef>
          </c:cat>
          <c:val>
            <c:numRef>
              <c:f>'1-10'!$Q$3:$Q$10</c:f>
              <c:numCache>
                <c:formatCode>0.00%</c:formatCode>
                <c:ptCount val="8"/>
                <c:pt idx="0">
                  <c:v>0.55023923444976075</c:v>
                </c:pt>
                <c:pt idx="1">
                  <c:v>0.22488038277511971</c:v>
                </c:pt>
                <c:pt idx="2">
                  <c:v>6.6985645933014371E-2</c:v>
                </c:pt>
                <c:pt idx="3">
                  <c:v>5.7416267942584427E-2</c:v>
                </c:pt>
                <c:pt idx="4">
                  <c:v>1.9138755980861243E-2</c:v>
                </c:pt>
                <c:pt idx="5">
                  <c:v>1.4354066985645836E-2</c:v>
                </c:pt>
                <c:pt idx="6">
                  <c:v>4.7846889952153134E-3</c:v>
                </c:pt>
                <c:pt idx="7">
                  <c:v>4.7846889952153134E-3</c:v>
                </c:pt>
              </c:numCache>
            </c:numRef>
          </c:val>
        </c:ser>
        <c:gapWidth val="75"/>
        <c:overlap val="40"/>
        <c:axId val="260652032"/>
        <c:axId val="260669824"/>
      </c:barChart>
      <c:catAx>
        <c:axId val="260652032"/>
        <c:scaling>
          <c:orientation val="minMax"/>
        </c:scaling>
        <c:axPos val="b"/>
        <c:majorTickMark val="none"/>
        <c:tickLblPos val="nextTo"/>
        <c:crossAx val="260669824"/>
        <c:crosses val="autoZero"/>
        <c:auto val="1"/>
        <c:lblAlgn val="ctr"/>
        <c:lblOffset val="100"/>
      </c:catAx>
      <c:valAx>
        <c:axId val="260669824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26065203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8"/>
  <c:chart>
    <c:title>
      <c:tx>
        <c:rich>
          <a:bodyPr/>
          <a:lstStyle/>
          <a:p>
            <a:pPr>
              <a:defRPr sz="1400"/>
            </a:pPr>
            <a:r>
              <a:rPr lang="zh-CN" altLang="en-US" sz="1400"/>
              <a:t>硕士</a:t>
            </a:r>
            <a:endParaRPr lang="zh-CN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0"/>
                  <c:y val="-6.9444444444444503E-2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0"/>
                  <c:y val="-8.3333333333333343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2.7777777777778286E-3"/>
                  <c:y val="-6.9444444444444503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0"/>
                  <c:y val="-1.8518518518518583E-2"/>
                </c:manualLayout>
              </c:layout>
              <c:dLblPos val="inEnd"/>
              <c:showVal val="1"/>
            </c:dLbl>
            <c:dLbl>
              <c:idx val="4"/>
              <c:layout>
                <c:manualLayout>
                  <c:x val="5.0925337632081604E-17"/>
                  <c:y val="-1.388888888888903E-2"/>
                </c:manualLayout>
              </c:layout>
              <c:dLblPos val="inEnd"/>
              <c:showVal val="1"/>
            </c:dLbl>
            <c:dLblPos val="inEnd"/>
            <c:showVal val="1"/>
          </c:dLbls>
          <c:cat>
            <c:strRef>
              <c:f>'1-10'!$K$3:$K$14</c:f>
              <c:strCache>
                <c:ptCount val="12"/>
                <c:pt idx="0">
                  <c:v>高等教育单位</c:v>
                </c:pt>
                <c:pt idx="1">
                  <c:v>科研单位</c:v>
                </c:pt>
                <c:pt idx="2">
                  <c:v>私营企业</c:v>
                </c:pt>
                <c:pt idx="3">
                  <c:v>国有企业</c:v>
                </c:pt>
                <c:pt idx="4">
                  <c:v>党政机关</c:v>
                </c:pt>
                <c:pt idx="5">
                  <c:v>事业单位聘用</c:v>
                </c:pt>
                <c:pt idx="6">
                  <c:v>部队</c:v>
                </c:pt>
                <c:pt idx="7">
                  <c:v>其他事业单位</c:v>
                </c:pt>
                <c:pt idx="8">
                  <c:v>拟出国出境</c:v>
                </c:pt>
                <c:pt idx="9">
                  <c:v>外资企业</c:v>
                </c:pt>
                <c:pt idx="10">
                  <c:v>中初教育单位</c:v>
                </c:pt>
                <c:pt idx="11">
                  <c:v>其他企业</c:v>
                </c:pt>
              </c:strCache>
            </c:strRef>
          </c:cat>
          <c:val>
            <c:numRef>
              <c:f>'1-10'!$O$3:$O$14</c:f>
              <c:numCache>
                <c:formatCode>0.00%</c:formatCode>
                <c:ptCount val="12"/>
                <c:pt idx="0">
                  <c:v>1.5466666666666681E-2</c:v>
                </c:pt>
                <c:pt idx="1">
                  <c:v>0.20266666666666666</c:v>
                </c:pt>
                <c:pt idx="2">
                  <c:v>0.26026666666666681</c:v>
                </c:pt>
                <c:pt idx="3">
                  <c:v>0.35893333333333333</c:v>
                </c:pt>
                <c:pt idx="4">
                  <c:v>3.3066666666666668E-2</c:v>
                </c:pt>
                <c:pt idx="5">
                  <c:v>1.8666666666666703E-2</c:v>
                </c:pt>
                <c:pt idx="6">
                  <c:v>2.0266666666666665E-2</c:v>
                </c:pt>
                <c:pt idx="7">
                  <c:v>1.6000000000000111E-3</c:v>
                </c:pt>
                <c:pt idx="8">
                  <c:v>0</c:v>
                </c:pt>
                <c:pt idx="9">
                  <c:v>2.5600000000000012E-2</c:v>
                </c:pt>
                <c:pt idx="10">
                  <c:v>1.2266666666666667E-2</c:v>
                </c:pt>
                <c:pt idx="11">
                  <c:v>5.333333333333393E-3</c:v>
                </c:pt>
              </c:numCache>
            </c:numRef>
          </c:val>
        </c:ser>
        <c:gapWidth val="75"/>
        <c:overlap val="40"/>
        <c:axId val="260665344"/>
        <c:axId val="260666880"/>
      </c:barChart>
      <c:catAx>
        <c:axId val="260665344"/>
        <c:scaling>
          <c:orientation val="minMax"/>
        </c:scaling>
        <c:axPos val="b"/>
        <c:majorTickMark val="none"/>
        <c:tickLblPos val="nextTo"/>
        <c:crossAx val="260666880"/>
        <c:crosses val="autoZero"/>
        <c:auto val="1"/>
        <c:lblAlgn val="ctr"/>
        <c:lblOffset val="100"/>
      </c:catAx>
      <c:valAx>
        <c:axId val="260666880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26066534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8"/>
  <c:chart>
    <c:title>
      <c:tx>
        <c:rich>
          <a:bodyPr/>
          <a:lstStyle/>
          <a:p>
            <a:pPr>
              <a:defRPr sz="1400"/>
            </a:pPr>
            <a:r>
              <a:rPr lang="zh-CN" altLang="en-US" sz="1400"/>
              <a:t>本科生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5.5555555555555558E-3"/>
                  <c:y val="-7.8703703703703734E-2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2.5462668816040818E-17"/>
                  <c:y val="-7.8703703703703734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0"/>
                  <c:y val="-7.8703703703703734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0"/>
                  <c:y val="-6.9444444444444503E-2"/>
                </c:manualLayout>
              </c:layout>
              <c:dLblPos val="inEnd"/>
              <c:showVal val="1"/>
            </c:dLbl>
            <c:dLbl>
              <c:idx val="4"/>
              <c:layout>
                <c:manualLayout>
                  <c:x val="2.7777777777778286E-3"/>
                  <c:y val="-4.1666666666666664E-2"/>
                </c:manualLayout>
              </c:layout>
              <c:dLblPos val="inEnd"/>
              <c:showVal val="1"/>
            </c:dLbl>
            <c:dLblPos val="inEnd"/>
            <c:showVal val="1"/>
          </c:dLbls>
          <c:cat>
            <c:strRef>
              <c:f>'1-10'!$K$3:$K$11</c:f>
              <c:strCache>
                <c:ptCount val="9"/>
                <c:pt idx="0">
                  <c:v>高等教育单位</c:v>
                </c:pt>
                <c:pt idx="1">
                  <c:v>科研单位</c:v>
                </c:pt>
                <c:pt idx="2">
                  <c:v>私营企业</c:v>
                </c:pt>
                <c:pt idx="3">
                  <c:v>国有企业</c:v>
                </c:pt>
                <c:pt idx="4">
                  <c:v>党政机关</c:v>
                </c:pt>
                <c:pt idx="5">
                  <c:v>事业单位聘用</c:v>
                </c:pt>
                <c:pt idx="6">
                  <c:v>部队</c:v>
                </c:pt>
                <c:pt idx="7">
                  <c:v>其他事业单位</c:v>
                </c:pt>
                <c:pt idx="8">
                  <c:v>拟出国出境</c:v>
                </c:pt>
              </c:strCache>
            </c:strRef>
          </c:cat>
          <c:val>
            <c:numRef>
              <c:f>'1-10'!$M$3:$M$11</c:f>
              <c:numCache>
                <c:formatCode>0.00%</c:formatCode>
                <c:ptCount val="9"/>
                <c:pt idx="0">
                  <c:v>3.7290242386575985E-3</c:v>
                </c:pt>
                <c:pt idx="1">
                  <c:v>1.4916096954630198E-2</c:v>
                </c:pt>
                <c:pt idx="2">
                  <c:v>0.34058421379739168</c:v>
                </c:pt>
                <c:pt idx="3">
                  <c:v>0.40584213797389884</c:v>
                </c:pt>
                <c:pt idx="4">
                  <c:v>5.5935363579863269E-3</c:v>
                </c:pt>
                <c:pt idx="5">
                  <c:v>3.7290242386575985E-3</c:v>
                </c:pt>
                <c:pt idx="6">
                  <c:v>7.2094468614046503E-2</c:v>
                </c:pt>
                <c:pt idx="7">
                  <c:v>6.2150403977626308E-3</c:v>
                </c:pt>
                <c:pt idx="8">
                  <c:v>0</c:v>
                </c:pt>
              </c:numCache>
            </c:numRef>
          </c:val>
        </c:ser>
        <c:gapWidth val="75"/>
        <c:overlap val="40"/>
        <c:axId val="260695168"/>
        <c:axId val="260696704"/>
      </c:barChart>
      <c:catAx>
        <c:axId val="260695168"/>
        <c:scaling>
          <c:orientation val="minMax"/>
        </c:scaling>
        <c:axPos val="b"/>
        <c:majorTickMark val="none"/>
        <c:tickLblPos val="nextTo"/>
        <c:crossAx val="260696704"/>
        <c:crosses val="autoZero"/>
        <c:auto val="1"/>
        <c:lblAlgn val="ctr"/>
        <c:lblOffset val="100"/>
      </c:catAx>
      <c:valAx>
        <c:axId val="260696704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26069516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</Words>
  <Characters>748</Characters>
  <Application>Microsoft Office Word</Application>
  <DocSecurity>0</DocSecurity>
  <Lines>6</Lines>
  <Paragraphs>1</Paragraphs>
  <ScaleCrop>false</ScaleCrop>
  <Company>微软中国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2017-10-26T09:27:00Z</dcterms:created>
  <dcterms:modified xsi:type="dcterms:W3CDTF">2018-10-26T07:20:00Z</dcterms:modified>
</cp:coreProperties>
</file>